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4" w:rsidRDefault="001C3894" w:rsidP="001C3894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B52E5">
        <w:rPr>
          <w:rFonts w:ascii="Arial" w:hAnsi="Arial" w:cs="Arial"/>
          <w:b/>
          <w:noProof/>
          <w:color w:val="C00000"/>
          <w:sz w:val="24"/>
          <w:szCs w:val="24"/>
        </w:rPr>
        <w:t>C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ONVOCATORIA AYUDAS EMPLEO FSE 201</w:t>
      </w:r>
      <w:r w:rsidR="003D1840">
        <w:rPr>
          <w:rFonts w:ascii="Arial" w:hAnsi="Arial" w:cs="Arial"/>
          <w:b/>
          <w:noProof/>
          <w:color w:val="C00000"/>
          <w:sz w:val="24"/>
          <w:szCs w:val="24"/>
        </w:rPr>
        <w:t>8</w:t>
      </w:r>
    </w:p>
    <w:p w:rsidR="00C25976" w:rsidRPr="00F721B2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F721B2">
        <w:rPr>
          <w:rFonts w:ascii="Arial" w:hAnsi="Arial" w:cs="Arial"/>
          <w:b/>
          <w:noProof/>
          <w:color w:val="C00000"/>
          <w:sz w:val="24"/>
          <w:szCs w:val="24"/>
        </w:rPr>
        <w:t>RECOGIDA MICRODATOS PARTICIPANTES</w:t>
      </w:r>
    </w:p>
    <w:p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2018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Inclusión Social y Economía Social 2014-2020</w:t>
      </w:r>
      <w:r w:rsidR="00F721B2">
        <w:rPr>
          <w:rFonts w:ascii="Arial" w:hAnsi="Arial" w:cs="Arial"/>
          <w:sz w:val="24"/>
          <w:szCs w:val="24"/>
        </w:rPr>
        <w:t xml:space="preserve"> (POISES)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POISES</w:t>
      </w:r>
      <w:r w:rsidRPr="00152721">
        <w:rPr>
          <w:rFonts w:ascii="Arial" w:hAnsi="Arial" w:cs="Arial"/>
          <w:sz w:val="24"/>
          <w:szCs w:val="24"/>
        </w:rPr>
        <w:t>, Fundación ONCE asume una serie de obligaciones, entre las cuales está la de recoger información sobre cada una de las personas que han participado en nuestros proyectos y repo</w:t>
      </w:r>
      <w:r w:rsidR="00DA0012">
        <w:rPr>
          <w:rFonts w:ascii="Arial" w:hAnsi="Arial" w:cs="Arial"/>
          <w:sz w:val="24"/>
          <w:szCs w:val="24"/>
        </w:rPr>
        <w:t>rtar los resultados de las misma</w:t>
      </w:r>
      <w:r w:rsidRPr="00152721">
        <w:rPr>
          <w:rFonts w:ascii="Arial" w:hAnsi="Arial" w:cs="Arial"/>
          <w:sz w:val="24"/>
          <w:szCs w:val="24"/>
        </w:rPr>
        <w:t xml:space="preserve">s. </w:t>
      </w: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de una ayuda cofinanciada por la Fundación </w:t>
      </w:r>
      <w:r w:rsidR="00F721B2"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participante mediante la cumplimentación de un cuestionario con una serie </w:t>
      </w:r>
      <w:proofErr w:type="spellStart"/>
      <w:r w:rsidRPr="00152721">
        <w:rPr>
          <w:rFonts w:ascii="Arial" w:hAnsi="Arial" w:cs="Arial"/>
          <w:sz w:val="24"/>
          <w:szCs w:val="24"/>
        </w:rPr>
        <w:t>microdatos</w:t>
      </w:r>
      <w:proofErr w:type="spellEnd"/>
      <w:r w:rsidRPr="00152721">
        <w:rPr>
          <w:rFonts w:ascii="Arial" w:hAnsi="Arial" w:cs="Arial"/>
          <w:sz w:val="24"/>
          <w:szCs w:val="24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>
        <w:rPr>
          <w:rFonts w:ascii="Arial" w:hAnsi="Arial" w:cs="Arial"/>
          <w:sz w:val="24"/>
          <w:szCs w:val="24"/>
        </w:rPr>
        <w:t xml:space="preserve">(GIR FONCE)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>habilitará un usuario y contraseña por entidad para poder acceder a la misma</w:t>
      </w:r>
      <w:r w:rsidR="00DA0012">
        <w:rPr>
          <w:rFonts w:ascii="Arial" w:hAnsi="Arial" w:cs="Arial"/>
          <w:sz w:val="24"/>
          <w:szCs w:val="24"/>
        </w:rPr>
        <w:t xml:space="preserve">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la recogida de </w:t>
      </w:r>
      <w:proofErr w:type="spellStart"/>
      <w:r w:rsidR="000373C5">
        <w:rPr>
          <w:rFonts w:ascii="Arial" w:hAnsi="Arial" w:cs="Arial"/>
          <w:sz w:val="24"/>
          <w:szCs w:val="24"/>
          <w:lang w:val="es-ES_tradnl"/>
        </w:rPr>
        <w:t>microdatos</w:t>
      </w:r>
      <w:proofErr w:type="spellEnd"/>
      <w:r w:rsidR="000373C5">
        <w:rPr>
          <w:rFonts w:ascii="Arial" w:hAnsi="Arial" w:cs="Arial"/>
          <w:sz w:val="24"/>
          <w:szCs w:val="24"/>
          <w:lang w:val="es-ES_tradnl"/>
        </w:rPr>
        <w:t xml:space="preserve">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los indicadores del proyecto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los proyectos deberán estar dirigidos a Personas con discapacidad en desempleo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los participantes de los proyectos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DE081D" w:rsidRDefault="00DE081D" w:rsidP="001E1F2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asegurar el cumplimiento de la acreditación de los requisitos de los participantes, es importante que las entidades guarden una copia de los documentos acreditativos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de los mismos.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</w:t>
      </w:r>
      <w:r w:rsidR="007D642F"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discapacidad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(mayor o igual al 33%),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 o certificado/resolución de incapacidad.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 w:rsidR="001E1F2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Copia de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DNI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microdatos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:rsidR="002C3EFF" w:rsidRPr="00766463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 continuación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proofErr w:type="spellStart"/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proofErr w:type="spellEnd"/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 w:rsidR="009E5A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:rsidR="009E5A78" w:rsidRDefault="009E5A78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al proyecto. 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beneficiadas indirectamente por una acción cofinanciada por el Fondo Social Europeo, no pueden reportarse como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Entidad 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considera también entidad participante la administración pública o servicio público a nivel nacional, regional o local, que intervenga a o la que se dirija 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Como en el caso anterior las entidades beneficiadas indirectamente por una acción cofinanciada por el FSE, no pueden reportarse como entidades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Personas sin empleo, disponibles para el trabajo y que buscan activamente trabajo. Las personas consideradas como desempleadas inscritas como demandantes de empleo,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según las definiciones nacionales siempre se incluyen, aunque no reúnan las tres condiciones citadas.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jóvenes (&lt;25 años): Periodo de más de 6 meses en situación continuada de desempleo (&gt;6 meses).</w:t>
      </w:r>
    </w:p>
    <w:p w:rsidR="001C3894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adultas (25 años o más): Periodo de más de 12 meses en situación continuada de desempleo (&gt;12 meses).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empleo, incluidos los trabajadores por cuenta propia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auto-empleadas con un negocio, una granja o un despacho o consulta profesional también se considera que están trabajando si se da alguna de las siguientes circunstancias: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</w:t>
      </w:r>
      <w:r w:rsidR="006C28F0">
        <w:rPr>
          <w:rFonts w:ascii="Arial" w:eastAsia="Times New Roman" w:hAnsi="Arial" w:cs="Arial"/>
          <w:sz w:val="24"/>
          <w:szCs w:val="24"/>
          <w:lang w:eastAsia="es-ES"/>
        </w:rPr>
        <w:t>ga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beneficios.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Una persona dedica tiempo a un negocio, consulta o despacho profesional o granja incluso cuan 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</w:t>
      </w:r>
      <w:r w:rsidR="00766463">
        <w:rPr>
          <w:rFonts w:ascii="Arial" w:eastAsia="Times New Roman" w:hAnsi="Arial" w:cs="Arial"/>
          <w:sz w:val="24"/>
          <w:szCs w:val="24"/>
          <w:lang w:eastAsia="es-ES"/>
        </w:rPr>
        <w:t>seminario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 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:rsidR="002C3EFF" w:rsidRPr="00766463" w:rsidRDefault="002C3EFF" w:rsidP="00766463">
      <w:pPr>
        <w:tabs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Menores de 25 años o mayores de 54 años de edad</w:t>
      </w:r>
    </w:p>
    <w:p w:rsidR="002C3EFF" w:rsidRPr="00766463" w:rsidRDefault="002C3EFF" w:rsidP="00034913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edad del participante se calcula desde el año de nacimiento y viene determinada por la fecha de comienzo del proyecto.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Nivel educativo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El grado educativo se determina por la fecha de comienzo del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diferentes grados educativos, de acuerdo a la Clasificación Internacional Normalizada de la Educación (CINE), son los siguientes: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Primaria. Comprende los tres ciclos de educación primaria.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Obligatoria.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Superior.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post-secundaria no superior.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superior de ciclo corto. Son programas diseñados para proporcionar 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Grado o equivalente.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Master o equivalente.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:rsidR="002C3EFF" w:rsidRPr="00766463" w:rsidRDefault="002C3EFF" w:rsidP="00034913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doctorado. Son programas a menudo diseñados para proporcionar una calificación de investigación avanzada. Normalmente se ofrecen solo por la investigación y enfocado en las universidades.</w:t>
      </w:r>
    </w:p>
    <w:p w:rsidR="002C3EFF" w:rsidRPr="00766463" w:rsidRDefault="002C3EFF" w:rsidP="00766463">
      <w:pPr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inmigrantes o con antecedentes extranjeros o pertenecientes a minorías</w:t>
      </w:r>
    </w:p>
    <w:p w:rsidR="002C3EFF" w:rsidRPr="00766463" w:rsidRDefault="002C3EFF" w:rsidP="00AA33FD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con discapacidad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Otras personas desfavorecidas</w:t>
      </w:r>
    </w:p>
    <w:p w:rsidR="002C3EFF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Personas desfavorecidas (respecto al mercado de trabajo) que no sean inmigrantes, ni tengan antecedentes extranjeros, ni pertenezcan a minorías (incluyendo entre ellas las comunidades marginalizadas como la gitana) ni sean personas con </w:t>
      </w:r>
      <w:proofErr w:type="spell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discapacidad.Esto</w:t>
      </w:r>
      <w:proofErr w:type="spell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incluye a todas las demás personas desfavorecidas tales como las personas en riesgo de exclusión social o personas que no han completado con éxito el nivel CINE 1, y que no son cubiertas por los dos indicadores precedentes.</w:t>
      </w:r>
    </w:p>
    <w:p w:rsidR="004A75EE" w:rsidRDefault="004A75EE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:rsidR="004A75EE" w:rsidRPr="004A75EE" w:rsidRDefault="00A344F7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yperlink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uede consultar </w:t>
      </w:r>
      <w:r w:rsidR="00723B15">
        <w:rPr>
          <w:rFonts w:ascii="Arial" w:eastAsia="Times New Roman" w:hAnsi="Arial" w:cs="Arial"/>
          <w:bCs/>
          <w:sz w:val="24"/>
          <w:szCs w:val="24"/>
          <w:lang w:eastAsia="es-ES"/>
        </w:rPr>
        <w:t>los habitantes por población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introduciendo</w:t>
      </w:r>
      <w:bookmarkStart w:id="0" w:name="_GoBack"/>
      <w:bookmarkEnd w:id="0"/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nombre de la población.</w:t>
      </w:r>
    </w:p>
    <w:sectPr w:rsidR="004A75EE" w:rsidRPr="004A75EE" w:rsidSect="000B52E5">
      <w:headerReference w:type="default" r:id="rId8"/>
      <w:footerReference w:type="default" r:id="rId9"/>
      <w:pgSz w:w="11906" w:h="16838"/>
      <w:pgMar w:top="102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46AF" w:rsidRPr="004646AF" w:rsidRDefault="004646AF" w:rsidP="004646AF">
            <w:pPr>
              <w:pStyle w:val="Footer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DA0012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DA0012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4646AF" w:rsidRDefault="00464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6A" w:rsidRPr="000B52E5" w:rsidRDefault="000B52E5" w:rsidP="009C0C6A">
    <w:pPr>
      <w:pStyle w:val="Header"/>
      <w:spacing w:after="1080"/>
      <w:ind w:firstLine="1418"/>
      <w:jc w:val="center"/>
      <w:rPr>
        <w:sz w:val="24"/>
        <w:szCs w:val="24"/>
      </w:rPr>
    </w:pPr>
    <w:r w:rsidRPr="000B52E5">
      <w:rPr>
        <w:rFonts w:ascii="Arial" w:hAnsi="Arial" w:cs="Arial"/>
        <w:noProof/>
        <w:color w:val="A6A6A6" w:themeColor="background1" w:themeShade="A6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079D9" wp14:editId="70BF5A1D">
              <wp:simplePos x="0" y="0"/>
              <wp:positionH relativeFrom="column">
                <wp:posOffset>5350510</wp:posOffset>
              </wp:positionH>
              <wp:positionV relativeFrom="paragraph">
                <wp:posOffset>-262255</wp:posOffset>
              </wp:positionV>
              <wp:extent cx="1188720" cy="78486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50B" w:rsidRDefault="00AE050B" w:rsidP="00AE050B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DDE1171" wp14:editId="5B500C5E">
                                <wp:extent cx="967740" cy="685800"/>
                                <wp:effectExtent l="0" t="0" r="3810" b="0"/>
                                <wp:docPr id="1" name="58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" name="58 Image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485" cy="684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079D9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421.3pt;margin-top:-20.65pt;width:93.6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" fillcolor="white [3201]" stroked="f" strokeweight=".5pt">
              <v:textbox>
                <w:txbxContent>
                  <w:p w:rsidR="00AE050B" w:rsidRDefault="00AE050B" w:rsidP="00AE050B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DDE1171" wp14:editId="5B500C5E">
                          <wp:extent cx="967740" cy="685800"/>
                          <wp:effectExtent l="0" t="0" r="3810" b="0"/>
                          <wp:docPr id="1" name="58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" name="58 Image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5485" cy="684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6463" w:rsidRPr="000B52E5">
      <w:rPr>
        <w:rFonts w:ascii="Arial" w:hAnsi="Arial" w:cs="Arial"/>
        <w:noProof/>
        <w:color w:val="A6A6A6" w:themeColor="background1" w:themeShade="A6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0F408" wp14:editId="71CECD84">
              <wp:simplePos x="0" y="0"/>
              <wp:positionH relativeFrom="column">
                <wp:posOffset>-481965</wp:posOffset>
              </wp:positionH>
              <wp:positionV relativeFrom="paragraph">
                <wp:posOffset>-326390</wp:posOffset>
              </wp:positionV>
              <wp:extent cx="1000125" cy="80010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06A" w:rsidRDefault="00B4306A" w:rsidP="00B4306A">
                          <w:pPr>
                            <w:ind w:left="170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3125E2" wp14:editId="2B872C8A">
                                <wp:extent cx="800100" cy="655320"/>
                                <wp:effectExtent l="0" t="0" r="0" b="0"/>
                                <wp:docPr id="2" name="67 Imagen" descr="Logo Fundacion ONCE" title="Logo Fundacion ONC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67 Imagen" descr="Logo Fundacion ONCE" title="Logo Fundacion ONCE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525" cy="6573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0F408" id="3 Cuadro de texto" o:spid="_x0000_s1027" type="#_x0000_t202" style="position:absolute;left:0;text-align:left;margin-left:-37.95pt;margin-top:-25.7pt;width:7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" fillcolor="white [3201]" stroked="f" strokeweight=".5pt">
              <v:textbox>
                <w:txbxContent>
                  <w:p w:rsidR="00B4306A" w:rsidRDefault="00B4306A" w:rsidP="00B4306A">
                    <w:pPr>
                      <w:ind w:left="170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3125E2" wp14:editId="2B872C8A">
                          <wp:extent cx="800100" cy="655320"/>
                          <wp:effectExtent l="0" t="0" r="0" b="0"/>
                          <wp:docPr id="2" name="67 Imagen" descr="Logo Fundacion ONCE" title="Logo Fundacion ONC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67 Imagen" descr="Logo Fundacion ONCE" title="Logo Fundacion ONCE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525" cy="6573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F0AD5"/>
    <w:rsid w:val="00571F4B"/>
    <w:rsid w:val="00580181"/>
    <w:rsid w:val="00652554"/>
    <w:rsid w:val="00685DE5"/>
    <w:rsid w:val="006A0447"/>
    <w:rsid w:val="006C28F0"/>
    <w:rsid w:val="00703DD3"/>
    <w:rsid w:val="00723207"/>
    <w:rsid w:val="00723B15"/>
    <w:rsid w:val="00727DB8"/>
    <w:rsid w:val="00757EEA"/>
    <w:rsid w:val="00766463"/>
    <w:rsid w:val="007D642F"/>
    <w:rsid w:val="0083006D"/>
    <w:rsid w:val="00863E71"/>
    <w:rsid w:val="008B4DCD"/>
    <w:rsid w:val="009406C6"/>
    <w:rsid w:val="0097061F"/>
    <w:rsid w:val="0099136C"/>
    <w:rsid w:val="009C0C6A"/>
    <w:rsid w:val="009E5A78"/>
    <w:rsid w:val="009F2B95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C3577"/>
    <w:rsid w:val="00BC7487"/>
    <w:rsid w:val="00BE1BA6"/>
    <w:rsid w:val="00C25976"/>
    <w:rsid w:val="00C61E6F"/>
    <w:rsid w:val="00C744D5"/>
    <w:rsid w:val="00C77210"/>
    <w:rsid w:val="00CB4D95"/>
    <w:rsid w:val="00D12B09"/>
    <w:rsid w:val="00DA0012"/>
    <w:rsid w:val="00DC57C2"/>
    <w:rsid w:val="00DD0427"/>
    <w:rsid w:val="00DE081D"/>
    <w:rsid w:val="00DF72EB"/>
    <w:rsid w:val="00E1718A"/>
    <w:rsid w:val="00E92BFD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table" w:styleId="TableGrid">
    <w:name w:val="Table Grid"/>
    <w:basedOn w:val="Table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6A"/>
  </w:style>
  <w:style w:type="character" w:styleId="Hyperlink">
    <w:name w:val="Hyperlink"/>
    <w:basedOn w:val="DefaultParagraphFont"/>
    <w:uiPriority w:val="99"/>
    <w:semiHidden/>
    <w:unhideWhenUsed/>
    <w:rsid w:val="00A34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1970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Del Olmo Mosteiro, Aixa</cp:lastModifiedBy>
  <cp:revision>3</cp:revision>
  <cp:lastPrinted>2017-03-15T10:50:00Z</cp:lastPrinted>
  <dcterms:created xsi:type="dcterms:W3CDTF">2019-01-16T08:39:00Z</dcterms:created>
  <dcterms:modified xsi:type="dcterms:W3CDTF">2019-01-16T08:50:00Z</dcterms:modified>
</cp:coreProperties>
</file>