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92" w:rsidRPr="009341CF" w:rsidRDefault="004023F5" w:rsidP="004F7146">
      <w:pPr>
        <w:tabs>
          <w:tab w:val="left" w:pos="1663"/>
        </w:tabs>
        <w:spacing w:after="0" w:line="240" w:lineRule="auto"/>
        <w:rPr>
          <w:rFonts w:cs="Tahoma"/>
          <w:b/>
          <w:lang w:val="es-ES_tradnl"/>
        </w:rPr>
      </w:pPr>
      <w:bookmarkStart w:id="0" w:name="_GoBack"/>
      <w:bookmarkEnd w:id="0"/>
      <w:r w:rsidRPr="009341CF">
        <w:rPr>
          <w:rFonts w:cs="Tahoma"/>
          <w:b/>
          <w:lang w:val="es-ES_tradnl"/>
        </w:rPr>
        <w:t xml:space="preserve">Informe de Auditoría de </w:t>
      </w:r>
      <w:r w:rsidR="00613F7C" w:rsidRPr="009341CF">
        <w:rPr>
          <w:rFonts w:cs="Tahoma"/>
          <w:b/>
          <w:lang w:val="es-ES_tradnl"/>
        </w:rPr>
        <w:t>Cuentas Anuales</w:t>
      </w:r>
    </w:p>
    <w:p w:rsidR="004023F5" w:rsidRPr="009341CF" w:rsidRDefault="00551751" w:rsidP="004F7146">
      <w:pPr>
        <w:tabs>
          <w:tab w:val="left" w:pos="1663"/>
        </w:tabs>
        <w:spacing w:after="0" w:line="240" w:lineRule="auto"/>
        <w:rPr>
          <w:rFonts w:cs="Tahoma"/>
          <w:b/>
          <w:lang w:val="es-ES_tradnl"/>
        </w:rPr>
      </w:pPr>
      <w:proofErr w:type="gramStart"/>
      <w:r w:rsidRPr="009341CF">
        <w:rPr>
          <w:rFonts w:cs="Tahoma"/>
          <w:b/>
          <w:lang w:val="es-ES_tradnl"/>
        </w:rPr>
        <w:t>emitido</w:t>
      </w:r>
      <w:proofErr w:type="gramEnd"/>
      <w:r w:rsidRPr="009341CF">
        <w:rPr>
          <w:rFonts w:cs="Tahoma"/>
          <w:b/>
          <w:lang w:val="es-ES_tradnl"/>
        </w:rPr>
        <w:t xml:space="preserve"> por un Auditor Independiente</w:t>
      </w:r>
    </w:p>
    <w:p w:rsidR="004023F5" w:rsidRPr="009341CF" w:rsidRDefault="00D67FA9" w:rsidP="004F7146">
      <w:pPr>
        <w:spacing w:before="240" w:after="0" w:line="240" w:lineRule="auto"/>
        <w:rPr>
          <w:rFonts w:cs="Tahoma"/>
          <w:b/>
          <w:lang w:val="es-ES_tradnl"/>
        </w:rPr>
      </w:pPr>
      <w:r w:rsidRPr="009341CF">
        <w:rPr>
          <w:rFonts w:cs="Tahoma"/>
          <w:b/>
          <w:lang w:val="es-ES_tradnl"/>
        </w:rPr>
        <w:t>GRUPO ILUNION, S.L.</w:t>
      </w:r>
    </w:p>
    <w:p w:rsidR="004023F5" w:rsidRPr="009341CF" w:rsidRDefault="004023F5" w:rsidP="004F7146">
      <w:pPr>
        <w:spacing w:after="0" w:line="240" w:lineRule="auto"/>
        <w:rPr>
          <w:rFonts w:cs="Tahoma"/>
          <w:b/>
          <w:lang w:val="es-ES_tradnl"/>
        </w:rPr>
      </w:pPr>
      <w:r w:rsidRPr="009341CF">
        <w:rPr>
          <w:rFonts w:cs="Tahoma"/>
          <w:b/>
          <w:lang w:val="es-ES_tradnl"/>
        </w:rPr>
        <w:t>Cuentas Anuales e Informe de Gestión</w:t>
      </w:r>
    </w:p>
    <w:p w:rsidR="004023F5" w:rsidRPr="009341CF" w:rsidRDefault="004023F5" w:rsidP="004F7146">
      <w:pPr>
        <w:spacing w:after="0" w:line="240" w:lineRule="auto"/>
        <w:rPr>
          <w:rFonts w:cs="Tahoma"/>
          <w:b/>
          <w:lang w:val="es-ES_tradnl"/>
        </w:rPr>
      </w:pPr>
      <w:proofErr w:type="gramStart"/>
      <w:r w:rsidRPr="009341CF">
        <w:rPr>
          <w:rFonts w:cs="Tahoma"/>
          <w:b/>
          <w:lang w:val="es-ES_tradnl"/>
        </w:rPr>
        <w:t>correspondientes</w:t>
      </w:r>
      <w:proofErr w:type="gramEnd"/>
      <w:r w:rsidRPr="009341CF">
        <w:rPr>
          <w:rFonts w:cs="Tahoma"/>
          <w:b/>
          <w:lang w:val="es-ES_tradnl"/>
        </w:rPr>
        <w:t xml:space="preserve"> al ejercicio anual terminado</w:t>
      </w:r>
    </w:p>
    <w:p w:rsidR="004023F5" w:rsidRPr="009341CF" w:rsidRDefault="004023F5" w:rsidP="004F7146">
      <w:pPr>
        <w:spacing w:after="0" w:line="240" w:lineRule="auto"/>
        <w:rPr>
          <w:rFonts w:cs="Tahoma"/>
          <w:b/>
          <w:lang w:val="es-ES_tradnl"/>
        </w:rPr>
      </w:pPr>
      <w:proofErr w:type="gramStart"/>
      <w:r w:rsidRPr="009341CF">
        <w:rPr>
          <w:rFonts w:cs="Tahoma"/>
          <w:b/>
          <w:lang w:val="es-ES_tradnl"/>
        </w:rPr>
        <w:t>el</w:t>
      </w:r>
      <w:proofErr w:type="gramEnd"/>
      <w:r w:rsidRPr="009341CF">
        <w:rPr>
          <w:rFonts w:cs="Tahoma"/>
          <w:b/>
          <w:lang w:val="es-ES_tradnl"/>
        </w:rPr>
        <w:t xml:space="preserve"> </w:t>
      </w:r>
      <w:r w:rsidR="007B370F" w:rsidRPr="009341CF">
        <w:rPr>
          <w:rFonts w:cs="Tahoma"/>
          <w:b/>
          <w:lang w:val="es-ES_tradnl"/>
        </w:rPr>
        <w:t xml:space="preserve">31 </w:t>
      </w:r>
      <w:r w:rsidRPr="009341CF">
        <w:rPr>
          <w:rFonts w:cs="Tahoma"/>
          <w:b/>
          <w:lang w:val="es-ES_tradnl"/>
        </w:rPr>
        <w:t xml:space="preserve">de </w:t>
      </w:r>
      <w:r w:rsidR="007B370F" w:rsidRPr="009341CF">
        <w:rPr>
          <w:rFonts w:cs="Tahoma"/>
          <w:b/>
          <w:lang w:val="es-ES_tradnl"/>
        </w:rPr>
        <w:t>diciembre de 2017</w:t>
      </w:r>
    </w:p>
    <w:p w:rsidR="005C56A6" w:rsidRPr="009341CF" w:rsidRDefault="005C56A6" w:rsidP="004F7146">
      <w:pPr>
        <w:spacing w:after="0" w:line="240" w:lineRule="auto"/>
        <w:rPr>
          <w:rFonts w:cs="Tahoma"/>
          <w:b/>
          <w:lang w:val="es-ES_tradnl"/>
        </w:rPr>
      </w:pPr>
    </w:p>
    <w:p w:rsidR="004023F5" w:rsidRPr="009341CF" w:rsidRDefault="004023F5" w:rsidP="004F7146">
      <w:pPr>
        <w:pStyle w:val="Default"/>
        <w:rPr>
          <w:rFonts w:ascii="EYInterstate Light" w:hAnsi="EYInterstate Light" w:cs="Garamond"/>
          <w:b/>
          <w:bCs/>
          <w:color w:val="auto"/>
          <w:sz w:val="22"/>
          <w:szCs w:val="22"/>
          <w:lang w:val="es-ES_tradnl"/>
        </w:rPr>
        <w:sectPr w:rsidR="004023F5" w:rsidRPr="009341CF" w:rsidSect="004F7146">
          <w:pgSz w:w="11907" w:h="16840" w:code="9"/>
          <w:pgMar w:top="2268" w:right="1985" w:bottom="1134" w:left="3119" w:header="1134" w:footer="1134" w:gutter="0"/>
          <w:cols w:space="720"/>
          <w:titlePg/>
          <w:docGrid w:linePitch="360"/>
        </w:sectPr>
      </w:pPr>
    </w:p>
    <w:p w:rsidR="004023F5" w:rsidRPr="009341CF" w:rsidRDefault="004023F5" w:rsidP="00976685">
      <w:pPr>
        <w:pStyle w:val="Default"/>
        <w:spacing w:before="840"/>
        <w:jc w:val="center"/>
        <w:rPr>
          <w:rFonts w:ascii="EYInterstate Light" w:hAnsi="EYInterstate Light" w:cs="Garamond"/>
          <w:color w:val="auto"/>
          <w:sz w:val="22"/>
          <w:szCs w:val="22"/>
          <w:lang w:val="es-ES_tradnl"/>
        </w:rPr>
      </w:pPr>
      <w:r w:rsidRPr="009341CF">
        <w:rPr>
          <w:rFonts w:ascii="EYInterstate Light" w:hAnsi="EYInterstate Light" w:cs="Garamond"/>
          <w:color w:val="auto"/>
          <w:sz w:val="22"/>
          <w:szCs w:val="22"/>
          <w:lang w:val="es-ES_tradnl"/>
        </w:rPr>
        <w:lastRenderedPageBreak/>
        <w:t>INFORME DE AUDITORÍA DE CUENTAS ANUALES EMITIDO POR UN AUDITOR INDEPENDIENTE</w:t>
      </w:r>
    </w:p>
    <w:p w:rsidR="004023F5" w:rsidRPr="009341CF" w:rsidRDefault="004023F5" w:rsidP="004F7146">
      <w:pPr>
        <w:autoSpaceDE w:val="0"/>
        <w:autoSpaceDN w:val="0"/>
        <w:adjustRightInd w:val="0"/>
        <w:spacing w:before="600" w:after="0" w:line="240" w:lineRule="auto"/>
        <w:rPr>
          <w:rFonts w:eastAsiaTheme="minorHAnsi"/>
          <w:lang w:val="es-ES_tradnl"/>
        </w:rPr>
      </w:pPr>
      <w:r w:rsidRPr="009341CF">
        <w:rPr>
          <w:rFonts w:eastAsiaTheme="minorHAnsi"/>
          <w:lang w:val="es-ES_tradnl"/>
        </w:rPr>
        <w:t xml:space="preserve">A los </w:t>
      </w:r>
      <w:r w:rsidR="00F65EAA" w:rsidRPr="009341CF">
        <w:rPr>
          <w:rFonts w:eastAsiaTheme="minorHAnsi"/>
          <w:lang w:val="es-ES_tradnl"/>
        </w:rPr>
        <w:t>Socios</w:t>
      </w:r>
      <w:r w:rsidRPr="009341CF">
        <w:rPr>
          <w:rFonts w:eastAsiaTheme="minorHAnsi"/>
          <w:lang w:val="es-ES_tradnl"/>
        </w:rPr>
        <w:t xml:space="preserve"> de </w:t>
      </w:r>
      <w:r w:rsidR="00D67FA9" w:rsidRPr="009341CF">
        <w:rPr>
          <w:rFonts w:eastAsiaTheme="minorHAnsi"/>
          <w:lang w:val="es-ES_tradnl"/>
        </w:rPr>
        <w:t>GRUPO ILUNION, S.L.</w:t>
      </w:r>
      <w:r w:rsidRPr="009341CF">
        <w:rPr>
          <w:rFonts w:eastAsiaTheme="minorHAnsi"/>
          <w:lang w:val="es-ES_tradnl"/>
        </w:rPr>
        <w:t>:</w:t>
      </w:r>
    </w:p>
    <w:p w:rsidR="004023F5" w:rsidRPr="009341CF" w:rsidRDefault="004023F5" w:rsidP="004F7146">
      <w:pPr>
        <w:pStyle w:val="Default"/>
        <w:spacing w:before="600"/>
        <w:rPr>
          <w:rFonts w:ascii="EYInterstate Light" w:hAnsi="EYInterstate Light" w:cs="Garamond"/>
          <w:b/>
          <w:color w:val="auto"/>
          <w:sz w:val="22"/>
          <w:szCs w:val="22"/>
          <w:lang w:val="es-ES_tradnl"/>
        </w:rPr>
      </w:pPr>
      <w:r w:rsidRPr="009341CF">
        <w:rPr>
          <w:rFonts w:ascii="EYInterstate Light" w:hAnsi="EYInterstate Light" w:cs="Garamond"/>
          <w:b/>
          <w:color w:val="auto"/>
          <w:sz w:val="22"/>
          <w:szCs w:val="22"/>
          <w:lang w:val="es-ES_tradnl"/>
        </w:rPr>
        <w:t>Opinión</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Hemos auditado las cuentas anuales de </w:t>
      </w:r>
      <w:r w:rsidR="00D67FA9" w:rsidRPr="009341CF">
        <w:rPr>
          <w:rFonts w:cs="Garamond"/>
          <w:lang w:val="es-ES_tradnl"/>
        </w:rPr>
        <w:t>GRUPO ILUNION, S.L.</w:t>
      </w:r>
      <w:r w:rsidRPr="009341CF">
        <w:rPr>
          <w:rFonts w:cs="Garamond"/>
          <w:lang w:val="es-ES_tradnl"/>
        </w:rPr>
        <w:t xml:space="preserve"> (la Sociedad), que comprenden el balance a 31 de diciembre de </w:t>
      </w:r>
      <w:r w:rsidR="00D67FA9" w:rsidRPr="009341CF">
        <w:rPr>
          <w:rFonts w:cs="Garamond"/>
          <w:lang w:val="es-ES_tradnl"/>
        </w:rPr>
        <w:t>2017</w:t>
      </w:r>
      <w:r w:rsidRPr="009341CF">
        <w:rPr>
          <w:rFonts w:cs="Garamond"/>
          <w:lang w:val="es-ES_tradnl"/>
        </w:rPr>
        <w:t>, la cuenta de pérdidas y ganancias, el estado de cambios en el patrimonio neto, el estado de flujos de efectivo y la memoria correspondientes al ejercicio anual terminado en dicha fecha.</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En nuestra opinión, las cuentas anuales adjuntas expresan, en todos los aspectos significativos, la imagen fiel del patrimonio y de la situación financiera de la Sociedad a 31 de diciembre de </w:t>
      </w:r>
      <w:r w:rsidR="00D67FA9" w:rsidRPr="009341CF">
        <w:rPr>
          <w:rFonts w:cs="Garamond"/>
          <w:lang w:val="es-ES_tradnl"/>
        </w:rPr>
        <w:t>2017</w:t>
      </w:r>
      <w:r w:rsidRPr="009341CF">
        <w:rPr>
          <w:rFonts w:cs="Garamond"/>
          <w:lang w:val="es-ES_tradnl"/>
        </w:rPr>
        <w:t>, así como de sus resultados y flujos de</w:t>
      </w:r>
      <w:r w:rsidR="00E50A5B" w:rsidRPr="009341CF">
        <w:rPr>
          <w:rFonts w:cs="Garamond"/>
          <w:lang w:val="es-ES_tradnl"/>
        </w:rPr>
        <w:t xml:space="preserve"> efectivo </w:t>
      </w:r>
      <w:r w:rsidRPr="009341CF">
        <w:rPr>
          <w:rFonts w:cs="Garamond"/>
          <w:lang w:val="es-ES_tradnl"/>
        </w:rPr>
        <w:t xml:space="preserve">correspondientes al ejercicio anual terminado en dicha fecha, de conformidad con el marco normativo de información financiera que resulta de aplicación (que se identifica en la nota </w:t>
      </w:r>
      <w:r w:rsidR="00D67FA9" w:rsidRPr="009341CF">
        <w:rPr>
          <w:rFonts w:cs="Garamond"/>
          <w:lang w:val="es-ES_tradnl"/>
        </w:rPr>
        <w:t>2</w:t>
      </w:r>
      <w:r w:rsidRPr="009341CF">
        <w:rPr>
          <w:rFonts w:cs="Garamond"/>
          <w:lang w:val="es-ES_tradnl"/>
        </w:rPr>
        <w:t xml:space="preserve"> de la memoria) y, en particular, con los principios y criterios contables contenidos en el mismo.</w:t>
      </w:r>
    </w:p>
    <w:p w:rsidR="004023F5" w:rsidRPr="009341CF" w:rsidRDefault="004023F5" w:rsidP="004F7146">
      <w:pPr>
        <w:pStyle w:val="Default"/>
        <w:spacing w:before="360"/>
        <w:rPr>
          <w:rFonts w:ascii="EYInterstate Light" w:hAnsi="EYInterstate Light" w:cs="Garamond"/>
          <w:b/>
          <w:color w:val="auto"/>
          <w:sz w:val="22"/>
          <w:szCs w:val="22"/>
          <w:lang w:val="es-ES_tradnl"/>
        </w:rPr>
      </w:pPr>
      <w:r w:rsidRPr="009341CF">
        <w:rPr>
          <w:rFonts w:ascii="EYInterstate Light" w:hAnsi="EYInterstate Light" w:cs="Garamond"/>
          <w:b/>
          <w:color w:val="auto"/>
          <w:sz w:val="22"/>
          <w:szCs w:val="22"/>
          <w:lang w:val="es-ES_tradnl"/>
        </w:rPr>
        <w:t>Fundamento de la opinión</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9341CF">
        <w:rPr>
          <w:rFonts w:cs="Garamond"/>
          <w:i/>
          <w:lang w:val="es-ES_tradnl"/>
        </w:rPr>
        <w:t>Responsabilidades del auditor en relación con la auditoría de las cuentas anuales</w:t>
      </w:r>
      <w:r w:rsidRPr="009341CF">
        <w:rPr>
          <w:rFonts w:cs="Garamond"/>
          <w:lang w:val="es-ES_tradnl"/>
        </w:rPr>
        <w:t xml:space="preserve"> de nuestro informe.</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Somos independientes de la Sociedad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Consideramos que la evidencia de auditoría que hemos obtenido proporciona una base suficiente y adecuada para nuestra opinión.</w:t>
      </w:r>
    </w:p>
    <w:p w:rsidR="004F7146" w:rsidRPr="009341CF" w:rsidRDefault="004F7146" w:rsidP="004F7146">
      <w:pPr>
        <w:autoSpaceDE w:val="0"/>
        <w:autoSpaceDN w:val="0"/>
        <w:adjustRightInd w:val="0"/>
        <w:spacing w:before="360" w:after="0" w:line="240" w:lineRule="auto"/>
        <w:rPr>
          <w:rFonts w:cs="Garamond"/>
          <w:b/>
          <w:lang w:val="es-ES_tradnl"/>
        </w:rPr>
      </w:pPr>
      <w:r w:rsidRPr="009341CF">
        <w:rPr>
          <w:rFonts w:cs="Garamond"/>
          <w:b/>
          <w:lang w:val="es-ES_tradnl"/>
        </w:rPr>
        <w:br w:type="page"/>
      </w:r>
    </w:p>
    <w:p w:rsidR="004023F5" w:rsidRPr="009341CF" w:rsidRDefault="004023F5" w:rsidP="004F7146">
      <w:pPr>
        <w:autoSpaceDE w:val="0"/>
        <w:autoSpaceDN w:val="0"/>
        <w:adjustRightInd w:val="0"/>
        <w:spacing w:before="360" w:after="0" w:line="240" w:lineRule="auto"/>
        <w:rPr>
          <w:rFonts w:cs="Garamond"/>
          <w:b/>
          <w:lang w:val="es-ES_tradnl"/>
        </w:rPr>
      </w:pPr>
      <w:r w:rsidRPr="009341CF">
        <w:rPr>
          <w:rFonts w:cs="Garamond"/>
          <w:b/>
          <w:lang w:val="es-ES_tradnl"/>
        </w:rPr>
        <w:lastRenderedPageBreak/>
        <w:t>Aspectos más relevantes de la auditoría</w:t>
      </w:r>
    </w:p>
    <w:p w:rsidR="004023F5" w:rsidRPr="009341CF" w:rsidRDefault="004023F5" w:rsidP="004F7146">
      <w:pPr>
        <w:spacing w:before="240" w:after="0" w:line="240" w:lineRule="auto"/>
        <w:rPr>
          <w:rFonts w:cs="Garamond"/>
          <w:lang w:val="es-ES_tradnl"/>
        </w:rPr>
      </w:pPr>
      <w:r w:rsidRPr="009341CF">
        <w:rPr>
          <w:rFonts w:cs="Garamond"/>
          <w:lang w:val="es-ES_tradnl"/>
        </w:rPr>
        <w:t>Los aspectos más relevantes de la auditoría son aquellos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w:t>
      </w:r>
      <w:r w:rsidR="00624F22" w:rsidRPr="009341CF">
        <w:rPr>
          <w:rFonts w:cs="Garamond"/>
          <w:lang w:val="es-ES_tradnl"/>
        </w:rPr>
        <w:t>sta</w:t>
      </w:r>
      <w:r w:rsidRPr="009341CF">
        <w:rPr>
          <w:rFonts w:cs="Garamond"/>
          <w:lang w:val="es-ES_tradnl"/>
        </w:rPr>
        <w:t xml:space="preserve">s, y no expresamos una opinión por separado sobre esos riesgos. </w:t>
      </w:r>
    </w:p>
    <w:p w:rsidR="003858CC" w:rsidRPr="009341CF" w:rsidRDefault="003858CC" w:rsidP="004F7146">
      <w:pPr>
        <w:pStyle w:val="IFACListStyle1"/>
        <w:numPr>
          <w:ilvl w:val="0"/>
          <w:numId w:val="0"/>
        </w:numPr>
        <w:spacing w:before="240" w:line="240" w:lineRule="auto"/>
        <w:ind w:left="567"/>
        <w:jc w:val="left"/>
        <w:rPr>
          <w:rFonts w:ascii="EYInterstate Light" w:eastAsiaTheme="minorEastAsia" w:hAnsi="EYInterstate Light" w:cs="Garamond"/>
          <w:b/>
          <w:kern w:val="0"/>
          <w:sz w:val="22"/>
          <w:szCs w:val="22"/>
          <w:lang w:val="es-ES_tradnl" w:bidi="ar-SA"/>
        </w:rPr>
      </w:pPr>
      <w:r w:rsidRPr="009341CF">
        <w:rPr>
          <w:rFonts w:ascii="EYInterstate Light" w:eastAsiaTheme="minorEastAsia" w:hAnsi="EYInterstate Light" w:cs="Garamond"/>
          <w:b/>
          <w:kern w:val="0"/>
          <w:sz w:val="22"/>
          <w:szCs w:val="22"/>
          <w:lang w:val="es-ES_tradnl" w:bidi="ar-SA"/>
        </w:rPr>
        <w:t>Valoración de las Inversiones en empresas del Grupo y vinculadas a largo y corto plazo</w:t>
      </w:r>
    </w:p>
    <w:p w:rsidR="000443AB" w:rsidRPr="009341CF" w:rsidRDefault="000443AB" w:rsidP="004F7146">
      <w:pPr>
        <w:spacing w:before="240" w:after="0" w:line="240" w:lineRule="auto"/>
        <w:ind w:left="567"/>
        <w:rPr>
          <w:lang w:val="es-ES_tradnl"/>
        </w:rPr>
      </w:pPr>
      <w:r w:rsidRPr="009341CF">
        <w:rPr>
          <w:lang w:val="es-ES_tradnl"/>
        </w:rPr>
        <w:t xml:space="preserve">A 31 de diciembre de 2017 Grupo ILUNION, S.L. tiene registrados, bajo </w:t>
      </w:r>
      <w:r w:rsidR="00C93874">
        <w:rPr>
          <w:lang w:val="es-ES_tradnl"/>
        </w:rPr>
        <w:t>los</w:t>
      </w:r>
      <w:r w:rsidRPr="009341CF">
        <w:rPr>
          <w:lang w:val="es-ES_tradnl"/>
        </w:rPr>
        <w:t xml:space="preserve"> epígrafe</w:t>
      </w:r>
      <w:r w:rsidR="00C93874">
        <w:rPr>
          <w:lang w:val="es-ES_tradnl"/>
        </w:rPr>
        <w:t>s</w:t>
      </w:r>
      <w:r w:rsidRPr="009341CF">
        <w:rPr>
          <w:lang w:val="es-ES_tradnl"/>
        </w:rPr>
        <w:t xml:space="preserve"> “Inversiones en empresas del grupo y vinculadas a largo</w:t>
      </w:r>
      <w:r w:rsidR="00C93874">
        <w:rPr>
          <w:lang w:val="es-ES_tradnl"/>
        </w:rPr>
        <w:t xml:space="preserve"> y corto</w:t>
      </w:r>
      <w:r w:rsidRPr="009341CF">
        <w:rPr>
          <w:lang w:val="es-ES_tradnl"/>
        </w:rPr>
        <w:t xml:space="preserve"> plazo” </w:t>
      </w:r>
      <w:r w:rsidRPr="009341CF">
        <w:rPr>
          <w:rFonts w:cs="Garamond"/>
          <w:lang w:val="es-ES_tradnl"/>
        </w:rPr>
        <w:t xml:space="preserve">instrumentos de patrimonio y créditos concedidos a éstas a largo y corto plazo por importe de 510.798 miles de euros y </w:t>
      </w:r>
      <w:r w:rsidRPr="009341CF">
        <w:rPr>
          <w:lang w:val="es-ES_tradnl"/>
        </w:rPr>
        <w:t>162.959 miles de euros</w:t>
      </w:r>
      <w:r w:rsidR="007D6AFD" w:rsidRPr="009341CF">
        <w:rPr>
          <w:lang w:val="es-ES_tradnl"/>
        </w:rPr>
        <w:t xml:space="preserve"> </w:t>
      </w:r>
      <w:r w:rsidRPr="009341CF">
        <w:rPr>
          <w:rFonts w:cs="Garamond"/>
          <w:lang w:val="es-ES_tradnl"/>
        </w:rPr>
        <w:t>respectivamente</w:t>
      </w:r>
      <w:r w:rsidRPr="009341CF">
        <w:rPr>
          <w:lang w:val="es-ES_tradnl"/>
        </w:rPr>
        <w:t xml:space="preserve">, cuyo detalle se desglosa </w:t>
      </w:r>
      <w:r w:rsidR="003C02B2" w:rsidRPr="009341CF">
        <w:rPr>
          <w:lang w:val="es-ES_tradnl"/>
        </w:rPr>
        <w:t>en la nota 9</w:t>
      </w:r>
      <w:r w:rsidRPr="009341CF">
        <w:rPr>
          <w:lang w:val="es-ES_tradnl"/>
        </w:rPr>
        <w:t xml:space="preserve"> de la mem</w:t>
      </w:r>
      <w:r w:rsidR="004F7146" w:rsidRPr="009341CF">
        <w:rPr>
          <w:lang w:val="es-ES_tradnl"/>
        </w:rPr>
        <w:t xml:space="preserve">oria adjunta. </w:t>
      </w:r>
      <w:r w:rsidRPr="009341CF">
        <w:rPr>
          <w:lang w:val="es-ES_tradnl"/>
        </w:rPr>
        <w:t xml:space="preserve">Asimismo, en la nota </w:t>
      </w:r>
      <w:r w:rsidR="003C02B2" w:rsidRPr="009341CF">
        <w:rPr>
          <w:lang w:val="es-ES_tradnl"/>
        </w:rPr>
        <w:t>4.6</w:t>
      </w:r>
      <w:r w:rsidRPr="009341CF">
        <w:rPr>
          <w:lang w:val="es-ES_tradnl"/>
        </w:rPr>
        <w:t xml:space="preserve"> de la memoria adjunta se señalan las normas de registro y valoración de estas inversiones.</w:t>
      </w:r>
    </w:p>
    <w:p w:rsidR="000443AB" w:rsidRPr="009341CF" w:rsidRDefault="000443AB" w:rsidP="004F7146">
      <w:pPr>
        <w:spacing w:before="240" w:after="0" w:line="240" w:lineRule="auto"/>
        <w:ind w:left="567"/>
        <w:rPr>
          <w:lang w:val="es-ES_tradnl"/>
        </w:rPr>
      </w:pPr>
      <w:r w:rsidRPr="009341CF">
        <w:rPr>
          <w:lang w:val="es-ES_tradnl"/>
        </w:rPr>
        <w:t>Hemos considerado esta área como uno de los aspectos más relevantes de nuestra auditoría debido a la relevancia de los importes involucrados, y al hecho de que los análisis</w:t>
      </w:r>
      <w:r w:rsidR="007D6AFD" w:rsidRPr="009341CF">
        <w:rPr>
          <w:lang w:val="es-ES_tradnl"/>
        </w:rPr>
        <w:t xml:space="preserve"> </w:t>
      </w:r>
      <w:r w:rsidRPr="009341CF">
        <w:rPr>
          <w:lang w:val="es-ES_tradnl"/>
        </w:rPr>
        <w:t xml:space="preserve">de la Dirección de la </w:t>
      </w:r>
      <w:r w:rsidR="00E55C3D" w:rsidRPr="009341CF">
        <w:rPr>
          <w:lang w:val="es-ES_tradnl"/>
        </w:rPr>
        <w:t>Sociedad</w:t>
      </w:r>
      <w:r w:rsidRPr="009341CF">
        <w:rPr>
          <w:lang w:val="es-ES_tradnl"/>
        </w:rPr>
        <w:t xml:space="preserve"> requieren de la realización de estimaciones y juicios complejos.</w:t>
      </w:r>
    </w:p>
    <w:p w:rsidR="000443AB" w:rsidRPr="009341CF" w:rsidRDefault="000443AB" w:rsidP="004F7146">
      <w:pPr>
        <w:spacing w:before="240" w:after="0" w:line="240" w:lineRule="auto"/>
        <w:ind w:left="567"/>
        <w:rPr>
          <w:lang w:val="es-ES_tradnl"/>
        </w:rPr>
      </w:pPr>
      <w:r w:rsidRPr="009341CF">
        <w:rPr>
          <w:lang w:val="es-ES_tradnl"/>
        </w:rPr>
        <w:t>Nue</w:t>
      </w:r>
      <w:r w:rsidR="000B43BE" w:rsidRPr="009341CF">
        <w:rPr>
          <w:lang w:val="es-ES_tradnl"/>
        </w:rPr>
        <w:t>stros procedimientos de auditorí</w:t>
      </w:r>
      <w:r w:rsidRPr="009341CF">
        <w:rPr>
          <w:lang w:val="es-ES_tradnl"/>
        </w:rPr>
        <w:t xml:space="preserve">a han incluido, entre otros, el análisis de los valores teóricos contables corregidos utilizados para determinar la necesidad de registrar correcciones valorativas de dichos </w:t>
      </w:r>
      <w:r w:rsidR="00E55C3D" w:rsidRPr="009341CF">
        <w:rPr>
          <w:lang w:val="es-ES_tradnl"/>
        </w:rPr>
        <w:t>activos</w:t>
      </w:r>
      <w:r w:rsidRPr="009341CF">
        <w:rPr>
          <w:lang w:val="es-ES_tradnl"/>
        </w:rPr>
        <w:t>. Asimismo, hemos revisado los desgloses incluidos en la memoria requeridos por la normativa contable de aplicación.</w:t>
      </w:r>
    </w:p>
    <w:p w:rsidR="00071939" w:rsidRPr="009341CF" w:rsidRDefault="00071939" w:rsidP="004F7146">
      <w:pPr>
        <w:pStyle w:val="IFACListStyle1"/>
        <w:numPr>
          <w:ilvl w:val="0"/>
          <w:numId w:val="0"/>
        </w:numPr>
        <w:spacing w:before="240" w:line="240" w:lineRule="auto"/>
        <w:ind w:left="567"/>
        <w:jc w:val="left"/>
        <w:rPr>
          <w:rFonts w:ascii="EYInterstate Light" w:eastAsiaTheme="minorEastAsia" w:hAnsi="EYInterstate Light" w:cs="Garamond"/>
          <w:b/>
          <w:kern w:val="0"/>
          <w:sz w:val="22"/>
          <w:szCs w:val="22"/>
          <w:lang w:val="es-ES_tradnl" w:bidi="ar-SA"/>
        </w:rPr>
      </w:pPr>
      <w:proofErr w:type="spellStart"/>
      <w:r w:rsidRPr="009341CF">
        <w:rPr>
          <w:rFonts w:ascii="EYInterstate Light" w:eastAsiaTheme="minorEastAsia" w:hAnsi="EYInterstate Light" w:cs="Garamond"/>
          <w:b/>
          <w:kern w:val="0"/>
          <w:sz w:val="22"/>
          <w:szCs w:val="22"/>
          <w:lang w:val="es-ES_tradnl" w:bidi="ar-SA"/>
        </w:rPr>
        <w:t>Recuperabilidad</w:t>
      </w:r>
      <w:proofErr w:type="spellEnd"/>
      <w:r w:rsidRPr="009341CF">
        <w:rPr>
          <w:rFonts w:ascii="EYInterstate Light" w:eastAsiaTheme="minorEastAsia" w:hAnsi="EYInterstate Light" w:cs="Garamond"/>
          <w:b/>
          <w:kern w:val="0"/>
          <w:sz w:val="22"/>
          <w:szCs w:val="22"/>
          <w:lang w:val="es-ES_tradnl" w:bidi="ar-SA"/>
        </w:rPr>
        <w:t xml:space="preserve"> de activos por impuestos diferidos</w:t>
      </w:r>
    </w:p>
    <w:p w:rsidR="004D2CDA" w:rsidRPr="009341CF" w:rsidRDefault="004D2CDA" w:rsidP="004F7146">
      <w:pPr>
        <w:pStyle w:val="IFACListStyle1"/>
        <w:numPr>
          <w:ilvl w:val="0"/>
          <w:numId w:val="0"/>
        </w:numPr>
        <w:tabs>
          <w:tab w:val="clear" w:pos="547"/>
          <w:tab w:val="left" w:pos="0"/>
          <w:tab w:val="left" w:pos="142"/>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t xml:space="preserve">La Sociedad tiene registrados a 31 de diciembre de 2017, activos por impuesto diferido por importe de </w:t>
      </w:r>
      <w:r w:rsidR="000443AB" w:rsidRPr="009341CF">
        <w:rPr>
          <w:rFonts w:ascii="EYInterstate Light" w:eastAsiaTheme="minorEastAsia" w:hAnsi="EYInterstate Light" w:cs="Garamond"/>
          <w:kern w:val="0"/>
          <w:sz w:val="22"/>
          <w:szCs w:val="22"/>
          <w:lang w:val="es-ES_tradnl" w:bidi="ar-SA"/>
        </w:rPr>
        <w:t>47.287</w:t>
      </w:r>
      <w:r w:rsidRPr="009341CF">
        <w:rPr>
          <w:rFonts w:ascii="EYInterstate Light" w:eastAsiaTheme="minorEastAsia" w:hAnsi="EYInterstate Light" w:cs="Garamond"/>
          <w:kern w:val="0"/>
          <w:sz w:val="22"/>
          <w:szCs w:val="22"/>
          <w:lang w:val="es-ES_tradnl" w:bidi="ar-SA"/>
        </w:rPr>
        <w:t xml:space="preserve"> miles de euros. Para determinar el valor recuperable de estos activos, la Dirección de la Sociedad evalúa la capacidad de generar beneficios fiscales futuros según el plan estratégico, considerando aquellas sociedades que conforman el grupo fiscal. La Dirección de la Sociedad,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 la Sociedad requieren la realización de estimaciones y juicios complejos acerca de los beneficios fiscales futuros d</w:t>
      </w:r>
      <w:r w:rsidR="00D564E3" w:rsidRPr="009341CF">
        <w:rPr>
          <w:rFonts w:ascii="EYInterstate Light" w:eastAsiaTheme="minorEastAsia" w:hAnsi="EYInterstate Light" w:cs="Garamond"/>
          <w:kern w:val="0"/>
          <w:sz w:val="22"/>
          <w:szCs w:val="22"/>
          <w:lang w:val="es-ES_tradnl" w:bidi="ar-SA"/>
        </w:rPr>
        <w:t>e las sociedades del grupo</w:t>
      </w:r>
      <w:r w:rsidRPr="009341CF">
        <w:rPr>
          <w:rFonts w:ascii="EYInterstate Light" w:eastAsiaTheme="minorEastAsia" w:hAnsi="EYInterstate Light" w:cs="Garamond"/>
          <w:kern w:val="0"/>
          <w:sz w:val="22"/>
          <w:szCs w:val="22"/>
          <w:lang w:val="es-ES_tradnl" w:bidi="ar-SA"/>
        </w:rPr>
        <w:t>.</w:t>
      </w:r>
      <w:r w:rsidR="009435A0" w:rsidRPr="009341CF">
        <w:rPr>
          <w:lang w:val="es-ES_tradnl"/>
        </w:rPr>
        <w:t xml:space="preserve"> </w:t>
      </w:r>
    </w:p>
    <w:p w:rsidR="009435A0" w:rsidRPr="009341CF" w:rsidRDefault="004D2CDA" w:rsidP="004F7146">
      <w:pPr>
        <w:pStyle w:val="IFACListStyle1"/>
        <w:numPr>
          <w:ilvl w:val="0"/>
          <w:numId w:val="0"/>
        </w:numPr>
        <w:tabs>
          <w:tab w:val="clear" w:pos="547"/>
          <w:tab w:val="left" w:pos="0"/>
          <w:tab w:val="left" w:pos="142"/>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t>La información relacionada con los activos por impuesto diferido así como el detalle de los mismos, se encuentra recogida en la nota 1</w:t>
      </w:r>
      <w:r w:rsidR="009435A0" w:rsidRPr="009341CF">
        <w:rPr>
          <w:rFonts w:ascii="EYInterstate Light" w:eastAsiaTheme="minorEastAsia" w:hAnsi="EYInterstate Light" w:cs="Garamond"/>
          <w:kern w:val="0"/>
          <w:sz w:val="22"/>
          <w:szCs w:val="22"/>
          <w:lang w:val="es-ES_tradnl" w:bidi="ar-SA"/>
        </w:rPr>
        <w:t>5</w:t>
      </w:r>
      <w:r w:rsidRPr="009341CF">
        <w:rPr>
          <w:rFonts w:ascii="EYInterstate Light" w:eastAsiaTheme="minorEastAsia" w:hAnsi="EYInterstate Light" w:cs="Garamond"/>
          <w:kern w:val="0"/>
          <w:sz w:val="22"/>
          <w:szCs w:val="22"/>
          <w:lang w:val="es-ES_tradnl" w:bidi="ar-SA"/>
        </w:rPr>
        <w:t xml:space="preserve"> de la memoria adjunta.</w:t>
      </w:r>
      <w:r w:rsidR="009435A0" w:rsidRPr="009341CF">
        <w:rPr>
          <w:lang w:val="es-ES_tradnl"/>
        </w:rPr>
        <w:t xml:space="preserve"> </w:t>
      </w:r>
      <w:r w:rsidR="009435A0" w:rsidRPr="009341CF">
        <w:rPr>
          <w:rFonts w:ascii="EYInterstate Light" w:eastAsiaTheme="minorEastAsia" w:hAnsi="EYInterstate Light" w:cs="Garamond"/>
          <w:kern w:val="0"/>
          <w:sz w:val="22"/>
          <w:szCs w:val="22"/>
          <w:lang w:val="es-ES_tradnl" w:bidi="ar-SA"/>
        </w:rPr>
        <w:t xml:space="preserve">Asimismo, en la nota 4.9 de la memoria adjunta se señalan las normas de registro y valoración de </w:t>
      </w:r>
      <w:r w:rsidR="00E55C3D" w:rsidRPr="009341CF">
        <w:rPr>
          <w:rFonts w:ascii="EYInterstate Light" w:eastAsiaTheme="minorEastAsia" w:hAnsi="EYInterstate Light" w:cs="Garamond"/>
          <w:kern w:val="0"/>
          <w:sz w:val="22"/>
          <w:szCs w:val="22"/>
          <w:lang w:val="es-ES_tradnl" w:bidi="ar-SA"/>
        </w:rPr>
        <w:t>estos activos</w:t>
      </w:r>
      <w:r w:rsidR="009435A0" w:rsidRPr="009341CF">
        <w:rPr>
          <w:rFonts w:ascii="EYInterstate Light" w:eastAsiaTheme="minorEastAsia" w:hAnsi="EYInterstate Light" w:cs="Garamond"/>
          <w:kern w:val="0"/>
          <w:sz w:val="22"/>
          <w:szCs w:val="22"/>
          <w:lang w:val="es-ES_tradnl" w:bidi="ar-SA"/>
        </w:rPr>
        <w:t>.</w:t>
      </w:r>
    </w:p>
    <w:p w:rsidR="004F7146" w:rsidRPr="009341CF" w:rsidRDefault="004F7146" w:rsidP="004F7146">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br w:type="page"/>
      </w:r>
    </w:p>
    <w:p w:rsidR="004D2CDA" w:rsidRPr="009341CF" w:rsidRDefault="004D2CDA" w:rsidP="00976685">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lastRenderedPageBreak/>
        <w:t>En relación con esta área, nuestros procedimientos de auditoría han incluido, entre otros:</w:t>
      </w:r>
    </w:p>
    <w:p w:rsidR="004D2CDA" w:rsidRPr="009341CF" w:rsidRDefault="004D2CDA" w:rsidP="00976685">
      <w:pPr>
        <w:pStyle w:val="ListParagraph"/>
        <w:numPr>
          <w:ilvl w:val="0"/>
          <w:numId w:val="36"/>
        </w:numPr>
        <w:spacing w:before="240" w:after="0" w:line="240" w:lineRule="auto"/>
        <w:ind w:left="1134" w:hanging="567"/>
        <w:contextualSpacing w:val="0"/>
        <w:rPr>
          <w:rFonts w:cs="Garamond"/>
          <w:lang w:val="es-ES_tradnl"/>
        </w:rPr>
      </w:pPr>
      <w:r w:rsidRPr="009341CF">
        <w:rPr>
          <w:rFonts w:cs="Garamond"/>
          <w:lang w:val="es-ES_tradnl"/>
        </w:rPr>
        <w:t xml:space="preserve">La revisión de la razonabilidad de la metodología empleada por la Dirección de la Sociedad y la construcción de las proyecciones económicas utilizadas, considerando la información financiera histórica y presupuestaria. </w:t>
      </w:r>
    </w:p>
    <w:p w:rsidR="004D2CDA" w:rsidRPr="009341CF" w:rsidRDefault="004D2CDA" w:rsidP="00976685">
      <w:pPr>
        <w:pStyle w:val="ListParagraph"/>
        <w:numPr>
          <w:ilvl w:val="0"/>
          <w:numId w:val="36"/>
        </w:numPr>
        <w:spacing w:before="240" w:after="0" w:line="240" w:lineRule="auto"/>
        <w:ind w:left="1134" w:hanging="567"/>
        <w:contextualSpacing w:val="0"/>
        <w:rPr>
          <w:rFonts w:cs="Garamond"/>
          <w:lang w:val="es-ES_tradnl"/>
        </w:rPr>
      </w:pPr>
      <w:r w:rsidRPr="009341CF">
        <w:rPr>
          <w:rFonts w:cs="Garamond"/>
          <w:lang w:val="es-ES_tradnl"/>
        </w:rPr>
        <w:t>Adicionalmente, hemos mantenido reuniones con la Dirección de la Sociedad considerando, en nuestro anális</w:t>
      </w:r>
      <w:r w:rsidR="00D564E3" w:rsidRPr="009341CF">
        <w:rPr>
          <w:rFonts w:cs="Garamond"/>
          <w:lang w:val="es-ES_tradnl"/>
        </w:rPr>
        <w:t xml:space="preserve">is, la posición </w:t>
      </w:r>
      <w:r w:rsidR="00C93874">
        <w:rPr>
          <w:rFonts w:cs="Garamond"/>
          <w:lang w:val="es-ES_tradnl"/>
        </w:rPr>
        <w:t xml:space="preserve">fiscal </w:t>
      </w:r>
      <w:r w:rsidR="00D564E3" w:rsidRPr="009341CF">
        <w:rPr>
          <w:rFonts w:cs="Garamond"/>
          <w:lang w:val="es-ES_tradnl"/>
        </w:rPr>
        <w:t>del grupo</w:t>
      </w:r>
      <w:r w:rsidRPr="009341CF">
        <w:rPr>
          <w:rFonts w:cs="Garamond"/>
          <w:lang w:val="es-ES_tradnl"/>
        </w:rPr>
        <w:t>, el periodo de proyección futuro de bases imponibles positivas y la legislación fiscal vigente.</w:t>
      </w:r>
    </w:p>
    <w:p w:rsidR="004023F5" w:rsidRPr="009341CF" w:rsidRDefault="004023F5" w:rsidP="004F7146">
      <w:pPr>
        <w:pStyle w:val="IFACListStyle1"/>
        <w:numPr>
          <w:ilvl w:val="0"/>
          <w:numId w:val="0"/>
        </w:numPr>
        <w:tabs>
          <w:tab w:val="clear" w:pos="547"/>
        </w:tabs>
        <w:spacing w:before="360" w:line="240" w:lineRule="auto"/>
        <w:jc w:val="left"/>
        <w:rPr>
          <w:rFonts w:ascii="EYInterstate Light" w:eastAsiaTheme="minorEastAsia" w:hAnsi="EYInterstate Light" w:cs="Garamond"/>
          <w:b/>
          <w:kern w:val="0"/>
          <w:sz w:val="22"/>
          <w:szCs w:val="22"/>
          <w:lang w:val="es-ES_tradnl" w:bidi="ar-SA"/>
        </w:rPr>
      </w:pPr>
      <w:r w:rsidRPr="009341CF">
        <w:rPr>
          <w:rFonts w:ascii="EYInterstate Light" w:eastAsiaTheme="minorEastAsia" w:hAnsi="EYInterstate Light" w:cs="Garamond"/>
          <w:b/>
          <w:kern w:val="0"/>
          <w:sz w:val="22"/>
          <w:szCs w:val="22"/>
          <w:lang w:val="es-ES_tradnl" w:bidi="ar-SA"/>
        </w:rPr>
        <w:t>Otra información: Informe de gestión</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La otra información comprende exclusivamente el informe de gestión del ejercicio </w:t>
      </w:r>
      <w:r w:rsidR="00D67FA9" w:rsidRPr="009341CF">
        <w:rPr>
          <w:rFonts w:cs="Garamond"/>
          <w:lang w:val="es-ES_tradnl"/>
        </w:rPr>
        <w:t>2017</w:t>
      </w:r>
      <w:r w:rsidRPr="009341CF">
        <w:rPr>
          <w:rFonts w:cs="Garamond"/>
          <w:lang w:val="es-ES_tradnl"/>
        </w:rPr>
        <w:t>, cuya formulación es responsabilidad de los administradores de la Sociedad y no forma parte integrante de las cuentas anuales.</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Nuestra opinión de auditoría sobre las cuentas anuales no cubre el informe de gestión.</w:t>
      </w:r>
      <w:r w:rsidR="008B524C" w:rsidRPr="009341CF">
        <w:rPr>
          <w:rFonts w:cs="Garamond"/>
          <w:lang w:val="es-ES_tradnl"/>
        </w:rPr>
        <w:t xml:space="preserve"> </w:t>
      </w:r>
      <w:r w:rsidRPr="009341CF">
        <w:rPr>
          <w:rFonts w:cs="Garamond"/>
          <w:lang w:val="es-ES_tradnl"/>
        </w:rPr>
        <w:t xml:space="preserve">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de aplicación. Si, basándonos en el trabajo que hemos realizado, concluimos que existen incorrecciones materiales, estamos obligados a informar de ello. </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Sobre la base del trabajo realizado, según lo descrito en el párrafo anterior, la información que contiene el informe de gestión concuerda con la de las cuentas anuales del ejercicio </w:t>
      </w:r>
      <w:r w:rsidR="00D67FA9" w:rsidRPr="009341CF">
        <w:rPr>
          <w:rFonts w:cs="Garamond"/>
          <w:lang w:val="es-ES_tradnl"/>
        </w:rPr>
        <w:t>2017</w:t>
      </w:r>
      <w:r w:rsidRPr="009341CF">
        <w:rPr>
          <w:rFonts w:cs="Garamond"/>
          <w:lang w:val="es-ES_tradnl"/>
        </w:rPr>
        <w:t xml:space="preserve"> y su contenido y presentación son conforme</w:t>
      </w:r>
      <w:r w:rsidR="009E7172" w:rsidRPr="009341CF">
        <w:rPr>
          <w:rFonts w:cs="Garamond"/>
          <w:lang w:val="es-ES_tradnl"/>
        </w:rPr>
        <w:t>s</w:t>
      </w:r>
      <w:r w:rsidRPr="009341CF">
        <w:rPr>
          <w:rFonts w:cs="Garamond"/>
          <w:lang w:val="es-ES_tradnl"/>
        </w:rPr>
        <w:t xml:space="preserve"> a la normativa que resulta de aplicación.</w:t>
      </w:r>
    </w:p>
    <w:p w:rsidR="004023F5" w:rsidRPr="009341CF" w:rsidRDefault="004023F5" w:rsidP="004F7146">
      <w:pPr>
        <w:autoSpaceDE w:val="0"/>
        <w:autoSpaceDN w:val="0"/>
        <w:adjustRightInd w:val="0"/>
        <w:spacing w:before="360" w:after="0" w:line="240" w:lineRule="auto"/>
        <w:rPr>
          <w:rFonts w:cs="Garamond"/>
          <w:b/>
          <w:lang w:val="es-ES_tradnl"/>
        </w:rPr>
      </w:pPr>
      <w:r w:rsidRPr="009341CF">
        <w:rPr>
          <w:rFonts w:cs="Garamond"/>
          <w:b/>
          <w:lang w:val="es-ES_tradnl"/>
        </w:rPr>
        <w:t>Responsabilidad de los administradores en relación con las cuentas anuales</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Los administradores son responsables de formular las cuentas anuales adjuntas, de forma que expresen la imagen fiel del patrimonio, de la situación financiera y de los resultados de la Sociedad, de conformidad con el marco normativo de información financiera aplicable a la entid</w:t>
      </w:r>
      <w:r w:rsidR="005E271A" w:rsidRPr="009341CF">
        <w:rPr>
          <w:rFonts w:cs="Garamond"/>
          <w:lang w:val="es-ES_tradnl"/>
        </w:rPr>
        <w:t>ad en España, que se identifica</w:t>
      </w:r>
      <w:r w:rsidRPr="009341CF">
        <w:rPr>
          <w:rFonts w:cs="Garamond"/>
          <w:lang w:val="es-ES_tradnl"/>
        </w:rPr>
        <w:t xml:space="preserve"> en la nota </w:t>
      </w:r>
      <w:r w:rsidR="00D67FA9" w:rsidRPr="009341CF">
        <w:rPr>
          <w:rFonts w:cs="Garamond"/>
          <w:lang w:val="es-ES_tradnl"/>
        </w:rPr>
        <w:t>2</w:t>
      </w:r>
      <w:r w:rsidRPr="009341CF">
        <w:rPr>
          <w:rFonts w:cs="Garamond"/>
          <w:lang w:val="es-ES_tradnl"/>
        </w:rPr>
        <w:t xml:space="preserve"> de la memoria adjunta, y del control interno que consideren necesario para permitir la preparación de cuentas anuales libres de incorrección material, debida a fraude o error.</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En la preparación de las cuentas anuales,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w:t>
      </w:r>
    </w:p>
    <w:p w:rsidR="00DC0F36" w:rsidRPr="009341CF" w:rsidRDefault="00DC0F36" w:rsidP="004F7146">
      <w:pPr>
        <w:spacing w:after="160" w:line="240" w:lineRule="auto"/>
        <w:rPr>
          <w:rFonts w:cs="Garamond"/>
          <w:b/>
          <w:lang w:val="es-ES_tradnl"/>
        </w:rPr>
      </w:pPr>
      <w:r w:rsidRPr="009341CF">
        <w:rPr>
          <w:rFonts w:cs="Garamond"/>
          <w:b/>
          <w:lang w:val="es-ES_tradnl"/>
        </w:rPr>
        <w:br w:type="page"/>
      </w:r>
    </w:p>
    <w:p w:rsidR="004023F5" w:rsidRPr="009341CF" w:rsidRDefault="004023F5" w:rsidP="004F7146">
      <w:pPr>
        <w:autoSpaceDE w:val="0"/>
        <w:autoSpaceDN w:val="0"/>
        <w:adjustRightInd w:val="0"/>
        <w:spacing w:after="0" w:line="240" w:lineRule="auto"/>
        <w:rPr>
          <w:rFonts w:cs="Garamond"/>
          <w:b/>
          <w:lang w:val="es-ES_tradnl"/>
        </w:rPr>
      </w:pPr>
      <w:r w:rsidRPr="009341CF">
        <w:rPr>
          <w:rFonts w:cs="Garamond"/>
          <w:b/>
          <w:lang w:val="es-ES_tradnl"/>
        </w:rPr>
        <w:lastRenderedPageBreak/>
        <w:t>Responsabilidades del auditor en relación con la auditoría de las cuentas anuales</w:t>
      </w:r>
    </w:p>
    <w:p w:rsidR="001B274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Nuestros objetivos son obtener una seguridad razonable de que las cuentas anuales en su conjunto están libres de incorrección material, debida a fraude o error, y emitir un informe de auditoría que contiene nuestra opinión. </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Seguridad razonable es un alto grado de seguridad pero no garantiza que una auditoría realizada de conformidad con la normativa reguladora de la actividad de auditoría</w:t>
      </w:r>
      <w:r w:rsidR="008B0F67" w:rsidRPr="009341CF">
        <w:rPr>
          <w:rFonts w:cs="Garamond"/>
          <w:lang w:val="es-ES_tradnl"/>
        </w:rPr>
        <w:t xml:space="preserve"> de cuentas</w:t>
      </w:r>
      <w:r w:rsidRPr="009341CF">
        <w:rPr>
          <w:rFonts w:cs="Garamond"/>
          <w:lang w:val="es-ES_tradnl"/>
        </w:rPr>
        <w:t xml:space="preserve"> vigente en España siempre detecte</w:t>
      </w:r>
      <w:r w:rsidR="00DB1182" w:rsidRPr="009341CF">
        <w:rPr>
          <w:rFonts w:cs="Garamond"/>
          <w:lang w:val="es-ES_tradnl"/>
        </w:rPr>
        <w:t xml:space="preserve"> </w:t>
      </w:r>
      <w:r w:rsidRPr="009341CF">
        <w:rPr>
          <w:rFonts w:cs="Garamond"/>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9341CF">
        <w:rPr>
          <w:rFonts w:cs="Garamond"/>
          <w:lang w:val="es-ES_tradnl"/>
        </w:rPr>
        <w:t xml:space="preserve"> </w:t>
      </w:r>
      <w:r w:rsidRPr="009341CF">
        <w:rPr>
          <w:rFonts w:cs="Garamond"/>
          <w:lang w:val="es-ES_tradnl"/>
        </w:rPr>
        <w:t>que los usuarios toman basándose en las cuentas anuales.</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Como parte de una auditoría de conformidad con la normativa reguladora de la actividad de auditoría de cuentas</w:t>
      </w:r>
      <w:r w:rsidR="00B9425C" w:rsidRPr="009341CF">
        <w:rPr>
          <w:rFonts w:cs="Garamond"/>
          <w:lang w:val="es-ES_tradnl"/>
        </w:rPr>
        <w:t xml:space="preserve"> vigente</w:t>
      </w:r>
      <w:r w:rsidRPr="009341CF">
        <w:rPr>
          <w:rFonts w:cs="Garamond"/>
          <w:lang w:val="es-ES_tradnl"/>
        </w:rPr>
        <w:t xml:space="preserve"> en España, aplicamos nuestro juicio profesional y mantenemos una actitud de escepticismo profesional durante toda la auditoría. También:</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Evaluamos si las políticas contables aplicadas son adecuadas y la razonabilidad de las estimaciones contables y la correspondiente información revelada por los administradores.</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rsidR="004F7146" w:rsidRPr="009341CF" w:rsidRDefault="004F7146" w:rsidP="004F7146">
      <w:pPr>
        <w:autoSpaceDE w:val="0"/>
        <w:autoSpaceDN w:val="0"/>
        <w:adjustRightInd w:val="0"/>
        <w:spacing w:after="0" w:line="240" w:lineRule="auto"/>
        <w:rPr>
          <w:rFonts w:cs="Garamond"/>
          <w:lang w:val="es-ES_tradnl"/>
        </w:rPr>
      </w:pPr>
      <w:r w:rsidRPr="009341CF">
        <w:rPr>
          <w:rFonts w:cs="Garamond"/>
          <w:lang w:val="es-ES_tradnl"/>
        </w:rPr>
        <w:br w:type="page"/>
      </w:r>
    </w:p>
    <w:p w:rsidR="004023F5" w:rsidRPr="009341CF" w:rsidRDefault="004023F5" w:rsidP="00976685">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lastRenderedPageBreak/>
        <w:t>Evaluamos la presentación global, la estructura y el contenido de las cuentas anuales, incluida la información revelada, y si las cuentas anuales representan las transacciones y hechos subyacentes de un modo que logran expresar la imagen fiel.</w:t>
      </w:r>
    </w:p>
    <w:p w:rsidR="004023F5" w:rsidRPr="009341CF" w:rsidRDefault="004023F5" w:rsidP="00976685">
      <w:pPr>
        <w:autoSpaceDE w:val="0"/>
        <w:autoSpaceDN w:val="0"/>
        <w:adjustRightInd w:val="0"/>
        <w:spacing w:before="240" w:after="0" w:line="240" w:lineRule="auto"/>
        <w:rPr>
          <w:rFonts w:cs="Garamond"/>
          <w:lang w:val="es-ES_tradnl"/>
        </w:rPr>
      </w:pPr>
      <w:r w:rsidRPr="009341CF">
        <w:rPr>
          <w:rFonts w:cs="Garamond"/>
          <w:lang w:val="es-ES_tradnl"/>
        </w:rPr>
        <w:t>Nos comunicamos con los administradores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rsidR="004023F5" w:rsidRPr="009341CF" w:rsidRDefault="004023F5" w:rsidP="00976685">
      <w:pPr>
        <w:autoSpaceDE w:val="0"/>
        <w:autoSpaceDN w:val="0"/>
        <w:adjustRightInd w:val="0"/>
        <w:spacing w:before="240" w:after="0" w:line="240" w:lineRule="auto"/>
        <w:rPr>
          <w:rFonts w:cs="Garamond"/>
          <w:lang w:val="es-ES_tradnl"/>
        </w:rPr>
      </w:pPr>
      <w:r w:rsidRPr="009341CF">
        <w:rPr>
          <w:rFonts w:cs="Garamond"/>
          <w:lang w:val="es-ES_tradnl"/>
        </w:rPr>
        <w:t>Entre los riesgos significativos que han sido objeto de comunicación a los administradores de la entidad, determinamos los que han sido de la mayor significatividad en la auditoría de las cuentas anuales del periodo actual y que son, en consecuencia, los riesgos considerados más significativos.</w:t>
      </w:r>
    </w:p>
    <w:p w:rsidR="004023F5" w:rsidRPr="009341CF" w:rsidRDefault="004023F5" w:rsidP="00976685">
      <w:pPr>
        <w:autoSpaceDE w:val="0"/>
        <w:autoSpaceDN w:val="0"/>
        <w:adjustRightInd w:val="0"/>
        <w:spacing w:before="240" w:after="0" w:line="240" w:lineRule="auto"/>
        <w:rPr>
          <w:rFonts w:cs="Garamond"/>
          <w:lang w:val="es-ES_tradnl"/>
        </w:rPr>
      </w:pPr>
      <w:r w:rsidRPr="009341CF">
        <w:rPr>
          <w:rFonts w:cs="Garamond"/>
          <w:lang w:val="es-ES_tradnl"/>
        </w:rPr>
        <w:t>Describimos esos riesgos en nuestro informe de auditoría salvo que las disposiciones legales o reglamentarias prohíban revelar públicamente la cuestión.</w:t>
      </w:r>
    </w:p>
    <w:p w:rsidR="004023F5" w:rsidRPr="009341CF" w:rsidRDefault="004023F5" w:rsidP="004F7146">
      <w:pPr>
        <w:tabs>
          <w:tab w:val="left" w:pos="5387"/>
        </w:tabs>
        <w:spacing w:before="400" w:after="0" w:line="240" w:lineRule="auto"/>
        <w:rPr>
          <w:lang w:val="es-ES_tradnl"/>
        </w:rPr>
      </w:pPr>
      <w:r w:rsidRPr="009341CF">
        <w:rPr>
          <w:lang w:val="es-ES_tradnl"/>
        </w:rPr>
        <w:tab/>
        <w:t>ERNST &amp; YOUNG, S.L.</w:t>
      </w:r>
    </w:p>
    <w:p w:rsidR="00551751" w:rsidRPr="009341CF" w:rsidRDefault="00551751" w:rsidP="004F7146">
      <w:pPr>
        <w:tabs>
          <w:tab w:val="left" w:pos="5387"/>
        </w:tabs>
        <w:spacing w:after="0" w:line="240" w:lineRule="auto"/>
        <w:rPr>
          <w:sz w:val="18"/>
          <w:szCs w:val="18"/>
          <w:lang w:val="es-ES_tradnl"/>
        </w:rPr>
      </w:pPr>
      <w:r w:rsidRPr="009341CF">
        <w:rPr>
          <w:sz w:val="18"/>
          <w:szCs w:val="18"/>
          <w:lang w:val="es-ES_tradnl"/>
        </w:rPr>
        <w:tab/>
      </w:r>
      <w:r w:rsidR="004023F5" w:rsidRPr="009341CF">
        <w:rPr>
          <w:sz w:val="18"/>
          <w:szCs w:val="18"/>
          <w:lang w:val="es-ES_tradnl"/>
        </w:rPr>
        <w:t>(Inscrita en el Registro Oficial de Auditores</w:t>
      </w:r>
    </w:p>
    <w:p w:rsidR="004023F5" w:rsidRPr="009341CF" w:rsidRDefault="00551751" w:rsidP="004F7146">
      <w:pPr>
        <w:tabs>
          <w:tab w:val="left" w:pos="5387"/>
        </w:tabs>
        <w:spacing w:after="0" w:line="240" w:lineRule="auto"/>
        <w:rPr>
          <w:sz w:val="18"/>
          <w:szCs w:val="18"/>
          <w:lang w:val="es-ES_tradnl"/>
        </w:rPr>
      </w:pPr>
      <w:r w:rsidRPr="009341CF">
        <w:rPr>
          <w:sz w:val="18"/>
          <w:szCs w:val="18"/>
          <w:lang w:val="es-ES_tradnl"/>
        </w:rPr>
        <w:tab/>
      </w:r>
      <w:proofErr w:type="gramStart"/>
      <w:r w:rsidR="004023F5" w:rsidRPr="009341CF">
        <w:rPr>
          <w:sz w:val="18"/>
          <w:szCs w:val="18"/>
          <w:lang w:val="es-ES_tradnl"/>
        </w:rPr>
        <w:t>de</w:t>
      </w:r>
      <w:proofErr w:type="gramEnd"/>
      <w:r w:rsidR="004023F5" w:rsidRPr="009341CF">
        <w:rPr>
          <w:sz w:val="18"/>
          <w:szCs w:val="18"/>
          <w:lang w:val="es-ES_tradnl"/>
        </w:rPr>
        <w:t xml:space="preserve"> Cuentas con el Nº S0530)</w:t>
      </w:r>
    </w:p>
    <w:p w:rsidR="004023F5" w:rsidRPr="009341CF" w:rsidRDefault="004023F5" w:rsidP="004F7146">
      <w:pPr>
        <w:tabs>
          <w:tab w:val="left" w:pos="5387"/>
        </w:tabs>
        <w:spacing w:before="1000" w:after="0" w:line="240" w:lineRule="auto"/>
        <w:rPr>
          <w:lang w:val="es-ES_tradnl"/>
        </w:rPr>
      </w:pPr>
      <w:r w:rsidRPr="009341CF">
        <w:rPr>
          <w:lang w:val="es-ES_tradnl"/>
        </w:rPr>
        <w:tab/>
        <w:t>____________________________</w:t>
      </w:r>
      <w:r w:rsidR="004F7146" w:rsidRPr="009341CF">
        <w:rPr>
          <w:lang w:val="es-ES_tradnl"/>
        </w:rPr>
        <w:t>____</w:t>
      </w:r>
    </w:p>
    <w:p w:rsidR="004023F5" w:rsidRPr="009341CF" w:rsidRDefault="004023F5" w:rsidP="004F7146">
      <w:pPr>
        <w:tabs>
          <w:tab w:val="left" w:pos="5387"/>
        </w:tabs>
        <w:spacing w:after="0" w:line="240" w:lineRule="auto"/>
        <w:rPr>
          <w:lang w:val="es-ES_tradnl"/>
        </w:rPr>
      </w:pPr>
      <w:r w:rsidRPr="009341CF">
        <w:rPr>
          <w:lang w:val="es-ES_tradnl"/>
        </w:rPr>
        <w:tab/>
      </w:r>
      <w:r w:rsidR="00D67FA9" w:rsidRPr="009341CF">
        <w:rPr>
          <w:lang w:val="es-ES_tradnl"/>
        </w:rPr>
        <w:t>María Teresa Pérez Bartolomé</w:t>
      </w:r>
    </w:p>
    <w:p w:rsidR="00551751" w:rsidRPr="009341CF" w:rsidRDefault="004023F5" w:rsidP="004F7146">
      <w:pPr>
        <w:tabs>
          <w:tab w:val="left" w:pos="5387"/>
        </w:tabs>
        <w:spacing w:after="0" w:line="240" w:lineRule="auto"/>
        <w:rPr>
          <w:sz w:val="18"/>
          <w:szCs w:val="18"/>
          <w:lang w:val="es-ES_tradnl"/>
        </w:rPr>
      </w:pPr>
      <w:r w:rsidRPr="009341CF">
        <w:rPr>
          <w:lang w:val="es-ES_tradnl"/>
        </w:rPr>
        <w:tab/>
      </w:r>
      <w:r w:rsidRPr="009341CF">
        <w:rPr>
          <w:sz w:val="18"/>
          <w:szCs w:val="18"/>
          <w:lang w:val="es-ES_tradnl"/>
        </w:rPr>
        <w:t>(Inscrit</w:t>
      </w:r>
      <w:r w:rsidR="00551751" w:rsidRPr="009341CF">
        <w:rPr>
          <w:sz w:val="18"/>
          <w:szCs w:val="18"/>
          <w:lang w:val="es-ES_tradnl"/>
        </w:rPr>
        <w:t>a</w:t>
      </w:r>
      <w:r w:rsidRPr="009341CF">
        <w:rPr>
          <w:sz w:val="18"/>
          <w:szCs w:val="18"/>
          <w:lang w:val="es-ES_tradnl"/>
        </w:rPr>
        <w:t xml:space="preserve"> en e</w:t>
      </w:r>
      <w:r w:rsidR="0068582A" w:rsidRPr="009341CF">
        <w:rPr>
          <w:sz w:val="18"/>
          <w:szCs w:val="18"/>
          <w:lang w:val="es-ES_tradnl"/>
        </w:rPr>
        <w:t>l Registro Oficial de Auditores</w:t>
      </w:r>
    </w:p>
    <w:p w:rsidR="004023F5" w:rsidRPr="009341CF" w:rsidRDefault="00551751" w:rsidP="004F7146">
      <w:pPr>
        <w:tabs>
          <w:tab w:val="left" w:pos="5387"/>
        </w:tabs>
        <w:spacing w:after="0" w:line="240" w:lineRule="auto"/>
        <w:rPr>
          <w:sz w:val="18"/>
          <w:szCs w:val="18"/>
          <w:lang w:val="es-ES_tradnl"/>
        </w:rPr>
      </w:pPr>
      <w:r w:rsidRPr="009341CF">
        <w:rPr>
          <w:sz w:val="18"/>
          <w:szCs w:val="18"/>
          <w:lang w:val="es-ES_tradnl"/>
        </w:rPr>
        <w:tab/>
      </w:r>
      <w:proofErr w:type="gramStart"/>
      <w:r w:rsidR="004023F5" w:rsidRPr="009341CF">
        <w:rPr>
          <w:sz w:val="18"/>
          <w:szCs w:val="18"/>
          <w:lang w:val="es-ES_tradnl"/>
        </w:rPr>
        <w:t>de</w:t>
      </w:r>
      <w:proofErr w:type="gramEnd"/>
      <w:r w:rsidR="004023F5" w:rsidRPr="009341CF">
        <w:rPr>
          <w:sz w:val="18"/>
          <w:szCs w:val="18"/>
          <w:lang w:val="es-ES_tradnl"/>
        </w:rPr>
        <w:t xml:space="preserve"> Cuentas con el Nº </w:t>
      </w:r>
      <w:r w:rsidR="00DC0F36" w:rsidRPr="009341CF">
        <w:rPr>
          <w:sz w:val="18"/>
          <w:szCs w:val="18"/>
          <w:lang w:val="es-ES_tradnl"/>
        </w:rPr>
        <w:t>15291</w:t>
      </w:r>
      <w:r w:rsidR="004023F5" w:rsidRPr="009341CF">
        <w:rPr>
          <w:sz w:val="18"/>
          <w:szCs w:val="18"/>
          <w:lang w:val="es-ES_tradnl"/>
        </w:rPr>
        <w:t>)</w:t>
      </w:r>
    </w:p>
    <w:p w:rsidR="004023F5" w:rsidRPr="009341CF" w:rsidRDefault="004023F5" w:rsidP="004F7146">
      <w:pPr>
        <w:tabs>
          <w:tab w:val="left" w:pos="5529"/>
        </w:tabs>
        <w:spacing w:after="0" w:line="240" w:lineRule="auto"/>
        <w:rPr>
          <w:lang w:val="es-ES_tradnl"/>
        </w:rPr>
      </w:pPr>
    </w:p>
    <w:p w:rsidR="004023F5" w:rsidRPr="009341CF" w:rsidRDefault="004023F5" w:rsidP="004F7146">
      <w:pPr>
        <w:pStyle w:val="Default"/>
        <w:rPr>
          <w:rFonts w:ascii="EYInterstate Light" w:hAnsi="EYInterstate Light" w:cs="Garamond"/>
          <w:color w:val="auto"/>
          <w:sz w:val="22"/>
          <w:szCs w:val="22"/>
          <w:lang w:val="es-ES_tradnl"/>
        </w:rPr>
      </w:pPr>
    </w:p>
    <w:p w:rsidR="004023F5" w:rsidRPr="009341CF" w:rsidRDefault="004023F5" w:rsidP="004F7146">
      <w:pPr>
        <w:pStyle w:val="Default"/>
        <w:rPr>
          <w:rFonts w:ascii="EYInterstate Light" w:hAnsi="EYInterstate Light" w:cs="Garamond"/>
          <w:color w:val="auto"/>
          <w:sz w:val="22"/>
          <w:szCs w:val="22"/>
          <w:lang w:val="es-ES_tradnl"/>
        </w:rPr>
      </w:pPr>
    </w:p>
    <w:p w:rsidR="001A0548" w:rsidRPr="009341CF" w:rsidRDefault="00BB76D3" w:rsidP="004F7146">
      <w:pPr>
        <w:pStyle w:val="Default"/>
        <w:rPr>
          <w:rFonts w:ascii="EYInterstate Light" w:hAnsi="EYInterstate Light" w:cs="Garamond"/>
          <w:color w:val="auto"/>
          <w:lang w:val="es-ES_tradnl"/>
        </w:rPr>
      </w:pPr>
      <w:r w:rsidRPr="009341CF">
        <w:rPr>
          <w:rFonts w:ascii="EYInterstate Light" w:hAnsi="EYInterstate Light" w:cs="Garamond"/>
          <w:color w:val="auto"/>
          <w:sz w:val="22"/>
          <w:szCs w:val="22"/>
          <w:lang w:val="es-ES_tradnl"/>
        </w:rPr>
        <w:t>17 de mayo</w:t>
      </w:r>
      <w:r w:rsidR="004023F5" w:rsidRPr="009341CF">
        <w:rPr>
          <w:rFonts w:ascii="EYInterstate Light" w:hAnsi="EYInterstate Light" w:cs="Garamond"/>
          <w:color w:val="auto"/>
          <w:sz w:val="22"/>
          <w:szCs w:val="22"/>
          <w:lang w:val="es-ES_tradnl"/>
        </w:rPr>
        <w:t xml:space="preserve"> de 20</w:t>
      </w:r>
      <w:r w:rsidR="007B370F" w:rsidRPr="009341CF">
        <w:rPr>
          <w:rFonts w:ascii="EYInterstate Light" w:hAnsi="EYInterstate Light" w:cs="Garamond"/>
          <w:color w:val="auto"/>
          <w:sz w:val="22"/>
          <w:szCs w:val="22"/>
          <w:lang w:val="es-ES_tradnl"/>
        </w:rPr>
        <w:t>18</w:t>
      </w:r>
    </w:p>
    <w:sectPr w:rsidR="001A0548" w:rsidRPr="009341CF" w:rsidSect="00976685">
      <w:headerReference w:type="default" r:id="rId8"/>
      <w:footerReference w:type="default" r:id="rId9"/>
      <w:headerReference w:type="first" r:id="rId10"/>
      <w:pgSz w:w="11906" w:h="16838" w:code="9"/>
      <w:pgMar w:top="2381"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3E" w:rsidRDefault="00044D3E" w:rsidP="00365BDD">
      <w:pPr>
        <w:spacing w:after="0" w:line="240" w:lineRule="auto"/>
      </w:pPr>
      <w:r>
        <w:separator/>
      </w:r>
    </w:p>
  </w:endnote>
  <w:endnote w:type="continuationSeparator" w:id="0">
    <w:p w:rsidR="00044D3E" w:rsidRDefault="00044D3E"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3E" w:rsidRDefault="00044D3E" w:rsidP="00365BDD">
      <w:pPr>
        <w:spacing w:after="0" w:line="240" w:lineRule="auto"/>
      </w:pPr>
      <w:r>
        <w:separator/>
      </w:r>
    </w:p>
  </w:footnote>
  <w:footnote w:type="continuationSeparator" w:id="0">
    <w:p w:rsidR="00044D3E" w:rsidRDefault="00044D3E"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D01963">
      <w:rPr>
        <w:noProof/>
        <w:sz w:val="20"/>
        <w:szCs w:val="20"/>
      </w:rPr>
      <w:t>5</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835CE4"/>
    <w:multiLevelType w:val="hybridMultilevel"/>
    <w:tmpl w:val="CBD2ECC2"/>
    <w:lvl w:ilvl="0" w:tplc="040A0001">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950992"/>
    <w:multiLevelType w:val="hybridMultilevel"/>
    <w:tmpl w:val="8D3E05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1"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3"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4"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6"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945E03"/>
    <w:multiLevelType w:val="hybridMultilevel"/>
    <w:tmpl w:val="EB525EB0"/>
    <w:lvl w:ilvl="0" w:tplc="FEAA4EAC">
      <w:start w:val="1"/>
      <w:numFmt w:val="bullet"/>
      <w:lvlText w:val="•"/>
      <w:lvlJc w:val="left"/>
      <w:pPr>
        <w:tabs>
          <w:tab w:val="num" w:pos="720"/>
        </w:tabs>
        <w:ind w:left="720" w:hanging="360"/>
      </w:pPr>
      <w:rPr>
        <w:rFonts w:ascii="EYInterstate Light" w:hAnsi="EYInterstate Light" w:hint="default"/>
      </w:rPr>
    </w:lvl>
    <w:lvl w:ilvl="1" w:tplc="6BAAB9C6" w:tentative="1">
      <w:start w:val="1"/>
      <w:numFmt w:val="bullet"/>
      <w:lvlText w:val="•"/>
      <w:lvlJc w:val="left"/>
      <w:pPr>
        <w:tabs>
          <w:tab w:val="num" w:pos="1440"/>
        </w:tabs>
        <w:ind w:left="1440" w:hanging="360"/>
      </w:pPr>
      <w:rPr>
        <w:rFonts w:ascii="EYInterstate Light" w:hAnsi="EYInterstate Light" w:hint="default"/>
      </w:rPr>
    </w:lvl>
    <w:lvl w:ilvl="2" w:tplc="99A25794" w:tentative="1">
      <w:start w:val="1"/>
      <w:numFmt w:val="bullet"/>
      <w:lvlText w:val="•"/>
      <w:lvlJc w:val="left"/>
      <w:pPr>
        <w:tabs>
          <w:tab w:val="num" w:pos="2160"/>
        </w:tabs>
        <w:ind w:left="2160" w:hanging="360"/>
      </w:pPr>
      <w:rPr>
        <w:rFonts w:ascii="EYInterstate Light" w:hAnsi="EYInterstate Light" w:hint="default"/>
      </w:rPr>
    </w:lvl>
    <w:lvl w:ilvl="3" w:tplc="3EC219C8" w:tentative="1">
      <w:start w:val="1"/>
      <w:numFmt w:val="bullet"/>
      <w:lvlText w:val="•"/>
      <w:lvlJc w:val="left"/>
      <w:pPr>
        <w:tabs>
          <w:tab w:val="num" w:pos="2880"/>
        </w:tabs>
        <w:ind w:left="2880" w:hanging="360"/>
      </w:pPr>
      <w:rPr>
        <w:rFonts w:ascii="EYInterstate Light" w:hAnsi="EYInterstate Light" w:hint="default"/>
      </w:rPr>
    </w:lvl>
    <w:lvl w:ilvl="4" w:tplc="7BDE5388" w:tentative="1">
      <w:start w:val="1"/>
      <w:numFmt w:val="bullet"/>
      <w:lvlText w:val="•"/>
      <w:lvlJc w:val="left"/>
      <w:pPr>
        <w:tabs>
          <w:tab w:val="num" w:pos="3600"/>
        </w:tabs>
        <w:ind w:left="3600" w:hanging="360"/>
      </w:pPr>
      <w:rPr>
        <w:rFonts w:ascii="EYInterstate Light" w:hAnsi="EYInterstate Light" w:hint="default"/>
      </w:rPr>
    </w:lvl>
    <w:lvl w:ilvl="5" w:tplc="241E1BC8" w:tentative="1">
      <w:start w:val="1"/>
      <w:numFmt w:val="bullet"/>
      <w:lvlText w:val="•"/>
      <w:lvlJc w:val="left"/>
      <w:pPr>
        <w:tabs>
          <w:tab w:val="num" w:pos="4320"/>
        </w:tabs>
        <w:ind w:left="4320" w:hanging="360"/>
      </w:pPr>
      <w:rPr>
        <w:rFonts w:ascii="EYInterstate Light" w:hAnsi="EYInterstate Light" w:hint="default"/>
      </w:rPr>
    </w:lvl>
    <w:lvl w:ilvl="6" w:tplc="471088DA" w:tentative="1">
      <w:start w:val="1"/>
      <w:numFmt w:val="bullet"/>
      <w:lvlText w:val="•"/>
      <w:lvlJc w:val="left"/>
      <w:pPr>
        <w:tabs>
          <w:tab w:val="num" w:pos="5040"/>
        </w:tabs>
        <w:ind w:left="5040" w:hanging="360"/>
      </w:pPr>
      <w:rPr>
        <w:rFonts w:ascii="EYInterstate Light" w:hAnsi="EYInterstate Light" w:hint="default"/>
      </w:rPr>
    </w:lvl>
    <w:lvl w:ilvl="7" w:tplc="9C8E6E0E" w:tentative="1">
      <w:start w:val="1"/>
      <w:numFmt w:val="bullet"/>
      <w:lvlText w:val="•"/>
      <w:lvlJc w:val="left"/>
      <w:pPr>
        <w:tabs>
          <w:tab w:val="num" w:pos="5760"/>
        </w:tabs>
        <w:ind w:left="5760" w:hanging="360"/>
      </w:pPr>
      <w:rPr>
        <w:rFonts w:ascii="EYInterstate Light" w:hAnsi="EYInterstate Light" w:hint="default"/>
      </w:rPr>
    </w:lvl>
    <w:lvl w:ilvl="8" w:tplc="9CDAE034" w:tentative="1">
      <w:start w:val="1"/>
      <w:numFmt w:val="bullet"/>
      <w:lvlText w:val="•"/>
      <w:lvlJc w:val="left"/>
      <w:pPr>
        <w:tabs>
          <w:tab w:val="num" w:pos="6480"/>
        </w:tabs>
        <w:ind w:left="6480" w:hanging="360"/>
      </w:pPr>
      <w:rPr>
        <w:rFonts w:ascii="EYInterstate Light" w:hAnsi="EYInterstate Light" w:hint="default"/>
      </w:rPr>
    </w:lvl>
  </w:abstractNum>
  <w:abstractNum w:abstractNumId="19" w15:restartNumberingAfterBreak="0">
    <w:nsid w:val="685A112C"/>
    <w:multiLevelType w:val="hybridMultilevel"/>
    <w:tmpl w:val="F0883AE2"/>
    <w:lvl w:ilvl="0" w:tplc="3CB8B064">
      <w:start w:val="1"/>
      <w:numFmt w:val="bullet"/>
      <w:lvlText w:val="•"/>
      <w:lvlJc w:val="left"/>
      <w:pPr>
        <w:tabs>
          <w:tab w:val="num" w:pos="720"/>
        </w:tabs>
        <w:ind w:left="720" w:hanging="360"/>
      </w:pPr>
      <w:rPr>
        <w:rFonts w:ascii="EYInterstate Light" w:hAnsi="EYInterstate Light" w:hint="default"/>
      </w:rPr>
    </w:lvl>
    <w:lvl w:ilvl="1" w:tplc="698A2D08" w:tentative="1">
      <w:start w:val="1"/>
      <w:numFmt w:val="bullet"/>
      <w:lvlText w:val="•"/>
      <w:lvlJc w:val="left"/>
      <w:pPr>
        <w:tabs>
          <w:tab w:val="num" w:pos="1440"/>
        </w:tabs>
        <w:ind w:left="1440" w:hanging="360"/>
      </w:pPr>
      <w:rPr>
        <w:rFonts w:ascii="EYInterstate Light" w:hAnsi="EYInterstate Light" w:hint="default"/>
      </w:rPr>
    </w:lvl>
    <w:lvl w:ilvl="2" w:tplc="FF3C3E76" w:tentative="1">
      <w:start w:val="1"/>
      <w:numFmt w:val="bullet"/>
      <w:lvlText w:val="•"/>
      <w:lvlJc w:val="left"/>
      <w:pPr>
        <w:tabs>
          <w:tab w:val="num" w:pos="2160"/>
        </w:tabs>
        <w:ind w:left="2160" w:hanging="360"/>
      </w:pPr>
      <w:rPr>
        <w:rFonts w:ascii="EYInterstate Light" w:hAnsi="EYInterstate Light" w:hint="default"/>
      </w:rPr>
    </w:lvl>
    <w:lvl w:ilvl="3" w:tplc="8A4061AC" w:tentative="1">
      <w:start w:val="1"/>
      <w:numFmt w:val="bullet"/>
      <w:lvlText w:val="•"/>
      <w:lvlJc w:val="left"/>
      <w:pPr>
        <w:tabs>
          <w:tab w:val="num" w:pos="2880"/>
        </w:tabs>
        <w:ind w:left="2880" w:hanging="360"/>
      </w:pPr>
      <w:rPr>
        <w:rFonts w:ascii="EYInterstate Light" w:hAnsi="EYInterstate Light" w:hint="default"/>
      </w:rPr>
    </w:lvl>
    <w:lvl w:ilvl="4" w:tplc="6BE6E24E" w:tentative="1">
      <w:start w:val="1"/>
      <w:numFmt w:val="bullet"/>
      <w:lvlText w:val="•"/>
      <w:lvlJc w:val="left"/>
      <w:pPr>
        <w:tabs>
          <w:tab w:val="num" w:pos="3600"/>
        </w:tabs>
        <w:ind w:left="3600" w:hanging="360"/>
      </w:pPr>
      <w:rPr>
        <w:rFonts w:ascii="EYInterstate Light" w:hAnsi="EYInterstate Light" w:hint="default"/>
      </w:rPr>
    </w:lvl>
    <w:lvl w:ilvl="5" w:tplc="758606A4" w:tentative="1">
      <w:start w:val="1"/>
      <w:numFmt w:val="bullet"/>
      <w:lvlText w:val="•"/>
      <w:lvlJc w:val="left"/>
      <w:pPr>
        <w:tabs>
          <w:tab w:val="num" w:pos="4320"/>
        </w:tabs>
        <w:ind w:left="4320" w:hanging="360"/>
      </w:pPr>
      <w:rPr>
        <w:rFonts w:ascii="EYInterstate Light" w:hAnsi="EYInterstate Light" w:hint="default"/>
      </w:rPr>
    </w:lvl>
    <w:lvl w:ilvl="6" w:tplc="34D67F56" w:tentative="1">
      <w:start w:val="1"/>
      <w:numFmt w:val="bullet"/>
      <w:lvlText w:val="•"/>
      <w:lvlJc w:val="left"/>
      <w:pPr>
        <w:tabs>
          <w:tab w:val="num" w:pos="5040"/>
        </w:tabs>
        <w:ind w:left="5040" w:hanging="360"/>
      </w:pPr>
      <w:rPr>
        <w:rFonts w:ascii="EYInterstate Light" w:hAnsi="EYInterstate Light" w:hint="default"/>
      </w:rPr>
    </w:lvl>
    <w:lvl w:ilvl="7" w:tplc="77488172" w:tentative="1">
      <w:start w:val="1"/>
      <w:numFmt w:val="bullet"/>
      <w:lvlText w:val="•"/>
      <w:lvlJc w:val="left"/>
      <w:pPr>
        <w:tabs>
          <w:tab w:val="num" w:pos="5760"/>
        </w:tabs>
        <w:ind w:left="5760" w:hanging="360"/>
      </w:pPr>
      <w:rPr>
        <w:rFonts w:ascii="EYInterstate Light" w:hAnsi="EYInterstate Light" w:hint="default"/>
      </w:rPr>
    </w:lvl>
    <w:lvl w:ilvl="8" w:tplc="587ADB72" w:tentative="1">
      <w:start w:val="1"/>
      <w:numFmt w:val="bullet"/>
      <w:lvlText w:val="•"/>
      <w:lvlJc w:val="left"/>
      <w:pPr>
        <w:tabs>
          <w:tab w:val="num" w:pos="6480"/>
        </w:tabs>
        <w:ind w:left="6480" w:hanging="360"/>
      </w:pPr>
      <w:rPr>
        <w:rFonts w:ascii="EYInterstate Light" w:hAnsi="EYInterstate Light" w:hint="default"/>
      </w:rPr>
    </w:lvl>
  </w:abstractNum>
  <w:abstractNum w:abstractNumId="20"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3"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3"/>
  </w:num>
  <w:num w:numId="2">
    <w:abstractNumId w:val="16"/>
  </w:num>
  <w:num w:numId="3">
    <w:abstractNumId w:val="2"/>
  </w:num>
  <w:num w:numId="4">
    <w:abstractNumId w:val="3"/>
  </w:num>
  <w:num w:numId="5">
    <w:abstractNumId w:val="11"/>
  </w:num>
  <w:num w:numId="6">
    <w:abstractNumId w:val="9"/>
  </w:num>
  <w:num w:numId="7">
    <w:abstractNumId w:val="5"/>
  </w:num>
  <w:num w:numId="8">
    <w:abstractNumId w:val="14"/>
  </w:num>
  <w:num w:numId="9">
    <w:abstractNumId w:val="21"/>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20"/>
  </w:num>
  <w:num w:numId="12">
    <w:abstractNumId w:val="10"/>
  </w:num>
  <w:num w:numId="13">
    <w:abstractNumId w:val="13"/>
  </w:num>
  <w:num w:numId="14">
    <w:abstractNumId w:val="17"/>
  </w:num>
  <w:num w:numId="15">
    <w:abstractNumId w:val="22"/>
  </w:num>
  <w:num w:numId="16">
    <w:abstractNumId w:val="4"/>
  </w:num>
  <w:num w:numId="17">
    <w:abstractNumId w:val="6"/>
  </w:num>
  <w:num w:numId="18">
    <w:abstractNumId w:val="23"/>
  </w:num>
  <w:num w:numId="19">
    <w:abstractNumId w:val="18"/>
  </w:num>
  <w:num w:numId="20">
    <w:abstractNumId w:val="15"/>
  </w:num>
  <w:num w:numId="21">
    <w:abstractNumId w:val="3"/>
  </w:num>
  <w:num w:numId="22">
    <w:abstractNumId w:val="12"/>
  </w:num>
  <w:num w:numId="23">
    <w:abstractNumId w:val="3"/>
  </w:num>
  <w:num w:numId="24">
    <w:abstractNumId w:val="3"/>
  </w:num>
  <w:num w:numId="25">
    <w:abstractNumId w:val="1"/>
  </w:num>
  <w:num w:numId="26">
    <w:abstractNumId w:val="3"/>
  </w:num>
  <w:num w:numId="27">
    <w:abstractNumId w:val="3"/>
  </w:num>
  <w:num w:numId="28">
    <w:abstractNumId w:val="19"/>
  </w:num>
  <w:num w:numId="29">
    <w:abstractNumId w:val="3"/>
  </w:num>
  <w:num w:numId="30">
    <w:abstractNumId w:val="3"/>
  </w:num>
  <w:num w:numId="31">
    <w:abstractNumId w:val="3"/>
  </w:num>
  <w:num w:numId="32">
    <w:abstractNumId w:val="3"/>
  </w:num>
  <w:num w:numId="33">
    <w:abstractNumId w:val="3"/>
  </w:num>
  <w:num w:numId="34">
    <w:abstractNumId w:val="3"/>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17F8A"/>
    <w:rsid w:val="0004022B"/>
    <w:rsid w:val="000443AB"/>
    <w:rsid w:val="000444E9"/>
    <w:rsid w:val="00044D3E"/>
    <w:rsid w:val="00044EBD"/>
    <w:rsid w:val="00071939"/>
    <w:rsid w:val="00073CFE"/>
    <w:rsid w:val="00096A24"/>
    <w:rsid w:val="000B05EA"/>
    <w:rsid w:val="000B43BE"/>
    <w:rsid w:val="000D0B2D"/>
    <w:rsid w:val="000D7706"/>
    <w:rsid w:val="000E3E48"/>
    <w:rsid w:val="001100F7"/>
    <w:rsid w:val="001162A2"/>
    <w:rsid w:val="001512B4"/>
    <w:rsid w:val="00156C69"/>
    <w:rsid w:val="001A0548"/>
    <w:rsid w:val="001B2745"/>
    <w:rsid w:val="001C0B70"/>
    <w:rsid w:val="001C4E77"/>
    <w:rsid w:val="001D71A2"/>
    <w:rsid w:val="0021455D"/>
    <w:rsid w:val="00251BD7"/>
    <w:rsid w:val="0025329F"/>
    <w:rsid w:val="00256D23"/>
    <w:rsid w:val="002A2C70"/>
    <w:rsid w:val="002A4154"/>
    <w:rsid w:val="002E7407"/>
    <w:rsid w:val="002F0633"/>
    <w:rsid w:val="00337E04"/>
    <w:rsid w:val="003612B5"/>
    <w:rsid w:val="00365BDD"/>
    <w:rsid w:val="00370510"/>
    <w:rsid w:val="003710F9"/>
    <w:rsid w:val="003720CD"/>
    <w:rsid w:val="00373699"/>
    <w:rsid w:val="003746E0"/>
    <w:rsid w:val="003858CC"/>
    <w:rsid w:val="003C02B2"/>
    <w:rsid w:val="003C0A13"/>
    <w:rsid w:val="003D4726"/>
    <w:rsid w:val="003E03BC"/>
    <w:rsid w:val="003E5DB1"/>
    <w:rsid w:val="003E6EF8"/>
    <w:rsid w:val="004023F5"/>
    <w:rsid w:val="00413EC9"/>
    <w:rsid w:val="004156BA"/>
    <w:rsid w:val="0041752A"/>
    <w:rsid w:val="00426787"/>
    <w:rsid w:val="004336A6"/>
    <w:rsid w:val="004A0E67"/>
    <w:rsid w:val="004B1096"/>
    <w:rsid w:val="004D2CDA"/>
    <w:rsid w:val="004D3015"/>
    <w:rsid w:val="004D52BB"/>
    <w:rsid w:val="004F7146"/>
    <w:rsid w:val="00503B7D"/>
    <w:rsid w:val="00523A8D"/>
    <w:rsid w:val="00535BA4"/>
    <w:rsid w:val="00551751"/>
    <w:rsid w:val="005604A1"/>
    <w:rsid w:val="00561E18"/>
    <w:rsid w:val="00567510"/>
    <w:rsid w:val="00567A74"/>
    <w:rsid w:val="005813ED"/>
    <w:rsid w:val="00590D41"/>
    <w:rsid w:val="005955E5"/>
    <w:rsid w:val="005A68A7"/>
    <w:rsid w:val="005C4DE4"/>
    <w:rsid w:val="005C56A6"/>
    <w:rsid w:val="005D07D6"/>
    <w:rsid w:val="005E271A"/>
    <w:rsid w:val="005E5E05"/>
    <w:rsid w:val="00612892"/>
    <w:rsid w:val="00613F7C"/>
    <w:rsid w:val="00624F22"/>
    <w:rsid w:val="00636CE7"/>
    <w:rsid w:val="00656153"/>
    <w:rsid w:val="00661AFE"/>
    <w:rsid w:val="0066708B"/>
    <w:rsid w:val="0068582A"/>
    <w:rsid w:val="00697286"/>
    <w:rsid w:val="006A117B"/>
    <w:rsid w:val="00700418"/>
    <w:rsid w:val="0071700C"/>
    <w:rsid w:val="007333D9"/>
    <w:rsid w:val="00742236"/>
    <w:rsid w:val="00757C87"/>
    <w:rsid w:val="007B370F"/>
    <w:rsid w:val="007D6AFD"/>
    <w:rsid w:val="007E1049"/>
    <w:rsid w:val="00807DA4"/>
    <w:rsid w:val="00807F7A"/>
    <w:rsid w:val="00810C9D"/>
    <w:rsid w:val="00824C92"/>
    <w:rsid w:val="008342B6"/>
    <w:rsid w:val="00841896"/>
    <w:rsid w:val="00856CD0"/>
    <w:rsid w:val="008841BA"/>
    <w:rsid w:val="00887A4B"/>
    <w:rsid w:val="008B0F67"/>
    <w:rsid w:val="008B524C"/>
    <w:rsid w:val="008C09DA"/>
    <w:rsid w:val="008D53AE"/>
    <w:rsid w:val="008F3FB3"/>
    <w:rsid w:val="00932A12"/>
    <w:rsid w:val="009341CF"/>
    <w:rsid w:val="009435A0"/>
    <w:rsid w:val="00976685"/>
    <w:rsid w:val="00980C2B"/>
    <w:rsid w:val="009837E4"/>
    <w:rsid w:val="009B4EE2"/>
    <w:rsid w:val="009C4DCC"/>
    <w:rsid w:val="009E7172"/>
    <w:rsid w:val="00A07CCA"/>
    <w:rsid w:val="00A3057F"/>
    <w:rsid w:val="00A55654"/>
    <w:rsid w:val="00A56D32"/>
    <w:rsid w:val="00A73946"/>
    <w:rsid w:val="00A811AA"/>
    <w:rsid w:val="00A85B2F"/>
    <w:rsid w:val="00AB04DE"/>
    <w:rsid w:val="00AB7CDA"/>
    <w:rsid w:val="00AC5725"/>
    <w:rsid w:val="00AC64FF"/>
    <w:rsid w:val="00AE3E43"/>
    <w:rsid w:val="00AE4FD5"/>
    <w:rsid w:val="00B0381D"/>
    <w:rsid w:val="00B14DA8"/>
    <w:rsid w:val="00B34253"/>
    <w:rsid w:val="00B35684"/>
    <w:rsid w:val="00B60EAC"/>
    <w:rsid w:val="00B81F30"/>
    <w:rsid w:val="00B84C2B"/>
    <w:rsid w:val="00B85F87"/>
    <w:rsid w:val="00B9425C"/>
    <w:rsid w:val="00BB0B49"/>
    <w:rsid w:val="00BB76D3"/>
    <w:rsid w:val="00BC1A14"/>
    <w:rsid w:val="00BC5BB2"/>
    <w:rsid w:val="00BE079B"/>
    <w:rsid w:val="00BE7160"/>
    <w:rsid w:val="00BF69E1"/>
    <w:rsid w:val="00C038D0"/>
    <w:rsid w:val="00C12E00"/>
    <w:rsid w:val="00C16531"/>
    <w:rsid w:val="00C667F5"/>
    <w:rsid w:val="00C708BA"/>
    <w:rsid w:val="00C93874"/>
    <w:rsid w:val="00CB205A"/>
    <w:rsid w:val="00CE140A"/>
    <w:rsid w:val="00CE5B03"/>
    <w:rsid w:val="00CF26EC"/>
    <w:rsid w:val="00CF2CFF"/>
    <w:rsid w:val="00D01963"/>
    <w:rsid w:val="00D04FB5"/>
    <w:rsid w:val="00D11AA6"/>
    <w:rsid w:val="00D3604F"/>
    <w:rsid w:val="00D42FFE"/>
    <w:rsid w:val="00D51C82"/>
    <w:rsid w:val="00D564E3"/>
    <w:rsid w:val="00D67FA9"/>
    <w:rsid w:val="00D75DDF"/>
    <w:rsid w:val="00D76A91"/>
    <w:rsid w:val="00D96268"/>
    <w:rsid w:val="00DA39B1"/>
    <w:rsid w:val="00DB1182"/>
    <w:rsid w:val="00DC0F36"/>
    <w:rsid w:val="00DC4E75"/>
    <w:rsid w:val="00DC64B8"/>
    <w:rsid w:val="00DD0879"/>
    <w:rsid w:val="00DE025F"/>
    <w:rsid w:val="00DE1291"/>
    <w:rsid w:val="00DE5A6C"/>
    <w:rsid w:val="00DF7B19"/>
    <w:rsid w:val="00E26BCC"/>
    <w:rsid w:val="00E41B4A"/>
    <w:rsid w:val="00E50A5B"/>
    <w:rsid w:val="00E55C3D"/>
    <w:rsid w:val="00E60FE7"/>
    <w:rsid w:val="00E778CE"/>
    <w:rsid w:val="00E8444C"/>
    <w:rsid w:val="00E91997"/>
    <w:rsid w:val="00E93D3B"/>
    <w:rsid w:val="00EB3C8A"/>
    <w:rsid w:val="00EC7FC0"/>
    <w:rsid w:val="00ED18A5"/>
    <w:rsid w:val="00ED21E9"/>
    <w:rsid w:val="00EE5125"/>
    <w:rsid w:val="00F04B97"/>
    <w:rsid w:val="00F1618B"/>
    <w:rsid w:val="00F522D0"/>
    <w:rsid w:val="00F55A9E"/>
    <w:rsid w:val="00F60EF2"/>
    <w:rsid w:val="00F65EAA"/>
    <w:rsid w:val="00F70F04"/>
    <w:rsid w:val="00F949AC"/>
    <w:rsid w:val="00FA6958"/>
    <w:rsid w:val="00FB0CF4"/>
    <w:rsid w:val="00FB5C32"/>
    <w:rsid w:val="00FD211F"/>
    <w:rsid w:val="00FE4207"/>
    <w:rsid w:val="00FE5C8B"/>
    <w:rsid w:val="00FF4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uiPriority w:val="99"/>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 w:type="character" w:styleId="Hyperlink">
    <w:name w:val="Hyperlink"/>
    <w:basedOn w:val="DefaultParagraphFont"/>
    <w:uiPriority w:val="99"/>
    <w:semiHidden/>
    <w:unhideWhenUsed/>
    <w:rsid w:val="00044E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3014">
      <w:bodyDiv w:val="1"/>
      <w:marLeft w:val="0"/>
      <w:marRight w:val="0"/>
      <w:marTop w:val="0"/>
      <w:marBottom w:val="0"/>
      <w:divBdr>
        <w:top w:val="none" w:sz="0" w:space="0" w:color="auto"/>
        <w:left w:val="none" w:sz="0" w:space="0" w:color="auto"/>
        <w:bottom w:val="none" w:sz="0" w:space="0" w:color="auto"/>
        <w:right w:val="none" w:sz="0" w:space="0" w:color="auto"/>
      </w:divBdr>
      <w:divsChild>
        <w:div w:id="480390904">
          <w:marLeft w:val="317"/>
          <w:marRight w:val="0"/>
          <w:marTop w:val="120"/>
          <w:marBottom w:val="120"/>
          <w:divBdr>
            <w:top w:val="none" w:sz="0" w:space="0" w:color="auto"/>
            <w:left w:val="none" w:sz="0" w:space="0" w:color="auto"/>
            <w:bottom w:val="none" w:sz="0" w:space="0" w:color="auto"/>
            <w:right w:val="none" w:sz="0" w:space="0" w:color="auto"/>
          </w:divBdr>
        </w:div>
        <w:div w:id="2035761341">
          <w:marLeft w:val="317"/>
          <w:marRight w:val="0"/>
          <w:marTop w:val="120"/>
          <w:marBottom w:val="120"/>
          <w:divBdr>
            <w:top w:val="none" w:sz="0" w:space="0" w:color="auto"/>
            <w:left w:val="none" w:sz="0" w:space="0" w:color="auto"/>
            <w:bottom w:val="none" w:sz="0" w:space="0" w:color="auto"/>
            <w:right w:val="none" w:sz="0" w:space="0" w:color="auto"/>
          </w:divBdr>
        </w:div>
        <w:div w:id="1296984487">
          <w:marLeft w:val="317"/>
          <w:marRight w:val="0"/>
          <w:marTop w:val="120"/>
          <w:marBottom w:val="120"/>
          <w:divBdr>
            <w:top w:val="none" w:sz="0" w:space="0" w:color="auto"/>
            <w:left w:val="none" w:sz="0" w:space="0" w:color="auto"/>
            <w:bottom w:val="none" w:sz="0" w:space="0" w:color="auto"/>
            <w:right w:val="none" w:sz="0" w:space="0" w:color="auto"/>
          </w:divBdr>
        </w:div>
        <w:div w:id="786391777">
          <w:marLeft w:val="317"/>
          <w:marRight w:val="0"/>
          <w:marTop w:val="120"/>
          <w:marBottom w:val="120"/>
          <w:divBdr>
            <w:top w:val="none" w:sz="0" w:space="0" w:color="auto"/>
            <w:left w:val="none" w:sz="0" w:space="0" w:color="auto"/>
            <w:bottom w:val="none" w:sz="0" w:space="0" w:color="auto"/>
            <w:right w:val="none" w:sz="0" w:space="0" w:color="auto"/>
          </w:divBdr>
        </w:div>
      </w:divsChild>
    </w:div>
    <w:div w:id="495267815">
      <w:bodyDiv w:val="1"/>
      <w:marLeft w:val="0"/>
      <w:marRight w:val="0"/>
      <w:marTop w:val="0"/>
      <w:marBottom w:val="0"/>
      <w:divBdr>
        <w:top w:val="none" w:sz="0" w:space="0" w:color="auto"/>
        <w:left w:val="none" w:sz="0" w:space="0" w:color="auto"/>
        <w:bottom w:val="none" w:sz="0" w:space="0" w:color="auto"/>
        <w:right w:val="none" w:sz="0" w:space="0" w:color="auto"/>
      </w:divBdr>
      <w:divsChild>
        <w:div w:id="596862734">
          <w:marLeft w:val="317"/>
          <w:marRight w:val="0"/>
          <w:marTop w:val="120"/>
          <w:marBottom w:val="120"/>
          <w:divBdr>
            <w:top w:val="none" w:sz="0" w:space="0" w:color="auto"/>
            <w:left w:val="none" w:sz="0" w:space="0" w:color="auto"/>
            <w:bottom w:val="none" w:sz="0" w:space="0" w:color="auto"/>
            <w:right w:val="none" w:sz="0" w:space="0" w:color="auto"/>
          </w:divBdr>
        </w:div>
      </w:divsChild>
    </w:div>
    <w:div w:id="575869415">
      <w:bodyDiv w:val="1"/>
      <w:marLeft w:val="0"/>
      <w:marRight w:val="0"/>
      <w:marTop w:val="0"/>
      <w:marBottom w:val="0"/>
      <w:divBdr>
        <w:top w:val="none" w:sz="0" w:space="0" w:color="auto"/>
        <w:left w:val="none" w:sz="0" w:space="0" w:color="auto"/>
        <w:bottom w:val="none" w:sz="0" w:space="0" w:color="auto"/>
        <w:right w:val="none" w:sz="0" w:space="0" w:color="auto"/>
      </w:divBdr>
    </w:div>
    <w:div w:id="581794985">
      <w:bodyDiv w:val="1"/>
      <w:marLeft w:val="0"/>
      <w:marRight w:val="0"/>
      <w:marTop w:val="0"/>
      <w:marBottom w:val="0"/>
      <w:divBdr>
        <w:top w:val="none" w:sz="0" w:space="0" w:color="auto"/>
        <w:left w:val="none" w:sz="0" w:space="0" w:color="auto"/>
        <w:bottom w:val="none" w:sz="0" w:space="0" w:color="auto"/>
        <w:right w:val="none" w:sz="0" w:space="0" w:color="auto"/>
      </w:divBdr>
    </w:div>
    <w:div w:id="738944834">
      <w:bodyDiv w:val="1"/>
      <w:marLeft w:val="0"/>
      <w:marRight w:val="0"/>
      <w:marTop w:val="0"/>
      <w:marBottom w:val="0"/>
      <w:divBdr>
        <w:top w:val="none" w:sz="0" w:space="0" w:color="auto"/>
        <w:left w:val="none" w:sz="0" w:space="0" w:color="auto"/>
        <w:bottom w:val="none" w:sz="0" w:space="0" w:color="auto"/>
        <w:right w:val="none" w:sz="0" w:space="0" w:color="auto"/>
      </w:divBdr>
      <w:divsChild>
        <w:div w:id="324358754">
          <w:marLeft w:val="317"/>
          <w:marRight w:val="0"/>
          <w:marTop w:val="120"/>
          <w:marBottom w:val="120"/>
          <w:divBdr>
            <w:top w:val="none" w:sz="0" w:space="0" w:color="auto"/>
            <w:left w:val="none" w:sz="0" w:space="0" w:color="auto"/>
            <w:bottom w:val="none" w:sz="0" w:space="0" w:color="auto"/>
            <w:right w:val="none" w:sz="0" w:space="0" w:color="auto"/>
          </w:divBdr>
        </w:div>
        <w:div w:id="729229286">
          <w:marLeft w:val="317"/>
          <w:marRight w:val="0"/>
          <w:marTop w:val="120"/>
          <w:marBottom w:val="120"/>
          <w:divBdr>
            <w:top w:val="none" w:sz="0" w:space="0" w:color="auto"/>
            <w:left w:val="none" w:sz="0" w:space="0" w:color="auto"/>
            <w:bottom w:val="none" w:sz="0" w:space="0" w:color="auto"/>
            <w:right w:val="none" w:sz="0" w:space="0" w:color="auto"/>
          </w:divBdr>
        </w:div>
      </w:divsChild>
    </w:div>
    <w:div w:id="1185898191">
      <w:bodyDiv w:val="1"/>
      <w:marLeft w:val="0"/>
      <w:marRight w:val="0"/>
      <w:marTop w:val="0"/>
      <w:marBottom w:val="0"/>
      <w:divBdr>
        <w:top w:val="none" w:sz="0" w:space="0" w:color="auto"/>
        <w:left w:val="none" w:sz="0" w:space="0" w:color="auto"/>
        <w:bottom w:val="none" w:sz="0" w:space="0" w:color="auto"/>
        <w:right w:val="none" w:sz="0" w:space="0" w:color="auto"/>
      </w:divBdr>
      <w:divsChild>
        <w:div w:id="493182624">
          <w:marLeft w:val="317"/>
          <w:marRight w:val="0"/>
          <w:marTop w:val="120"/>
          <w:marBottom w:val="120"/>
          <w:divBdr>
            <w:top w:val="none" w:sz="0" w:space="0" w:color="auto"/>
            <w:left w:val="none" w:sz="0" w:space="0" w:color="auto"/>
            <w:bottom w:val="none" w:sz="0" w:space="0" w:color="auto"/>
            <w:right w:val="none" w:sz="0" w:space="0" w:color="auto"/>
          </w:divBdr>
        </w:div>
      </w:divsChild>
    </w:div>
    <w:div w:id="1396509693">
      <w:bodyDiv w:val="1"/>
      <w:marLeft w:val="0"/>
      <w:marRight w:val="0"/>
      <w:marTop w:val="0"/>
      <w:marBottom w:val="0"/>
      <w:divBdr>
        <w:top w:val="none" w:sz="0" w:space="0" w:color="auto"/>
        <w:left w:val="none" w:sz="0" w:space="0" w:color="auto"/>
        <w:bottom w:val="none" w:sz="0" w:space="0" w:color="auto"/>
        <w:right w:val="none" w:sz="0" w:space="0" w:color="auto"/>
      </w:divBdr>
      <w:divsChild>
        <w:div w:id="1042946985">
          <w:marLeft w:val="317"/>
          <w:marRight w:val="0"/>
          <w:marTop w:val="120"/>
          <w:marBottom w:val="120"/>
          <w:divBdr>
            <w:top w:val="none" w:sz="0" w:space="0" w:color="auto"/>
            <w:left w:val="none" w:sz="0" w:space="0" w:color="auto"/>
            <w:bottom w:val="none" w:sz="0" w:space="0" w:color="auto"/>
            <w:right w:val="none" w:sz="0" w:space="0" w:color="auto"/>
          </w:divBdr>
        </w:div>
        <w:div w:id="640621908">
          <w:marLeft w:val="317"/>
          <w:marRight w:val="0"/>
          <w:marTop w:val="120"/>
          <w:marBottom w:val="120"/>
          <w:divBdr>
            <w:top w:val="none" w:sz="0" w:space="0" w:color="auto"/>
            <w:left w:val="none" w:sz="0" w:space="0" w:color="auto"/>
            <w:bottom w:val="none" w:sz="0" w:space="0" w:color="auto"/>
            <w:right w:val="none" w:sz="0" w:space="0" w:color="auto"/>
          </w:divBdr>
        </w:div>
        <w:div w:id="311296509">
          <w:marLeft w:val="317"/>
          <w:marRight w:val="0"/>
          <w:marTop w:val="120"/>
          <w:marBottom w:val="120"/>
          <w:divBdr>
            <w:top w:val="none" w:sz="0" w:space="0" w:color="auto"/>
            <w:left w:val="none" w:sz="0" w:space="0" w:color="auto"/>
            <w:bottom w:val="none" w:sz="0" w:space="0" w:color="auto"/>
            <w:right w:val="none" w:sz="0" w:space="0" w:color="auto"/>
          </w:divBdr>
        </w:div>
      </w:divsChild>
    </w:div>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9A33-21B0-4682-8946-D60BEAC87892}">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29882</vt:lpwstr>
  </property>
  <property fmtid="{D5CDD505-2E9C-101B-9397-08002B2CF9AE}" pid="4" name="OptimizationTime">
    <vt:lpwstr>20180522_1319</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6</Pages>
  <Words>1905</Words>
  <Characters>10481</Characters>
  <Application>Microsoft Office Word</Application>
  <DocSecurity>4</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2018-02-05T15:02:00Z</cp:lastPrinted>
  <dcterms:created xsi:type="dcterms:W3CDTF">2018-05-21T16:33:00Z</dcterms:created>
  <dcterms:modified xsi:type="dcterms:W3CDTF">2018-05-21T16:33:00Z</dcterms:modified>
</cp:coreProperties>
</file>