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4DA4B218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D64059">
        <w:rPr>
          <w:rFonts w:ascii="Arial" w:hAnsi="Arial" w:cs="Arial"/>
          <w:bCs/>
        </w:rPr>
        <w:t>Fundación ONCE</w:t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7898D544" w:rsidR="00936A1C" w:rsidRPr="00A73D86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A73D86" w:rsidRPr="00A73D86">
        <w:rPr>
          <w:rFonts w:ascii="Arial" w:hAnsi="Arial" w:cs="Arial"/>
          <w:bCs/>
        </w:rPr>
        <w:t>CONTRATACIÓN POR FUNDACIÓN ONCE DEL SERVICIO DE ALOJAMIENTO Y MANTENIMIENTO DE LOS MOOC DEL CANAL FUNDACIÓN ONCE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7A5DDAA3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</w:t>
      </w:r>
      <w:r w:rsidR="00A73D86">
        <w:rPr>
          <w:rFonts w:ascii="Arial" w:hAnsi="Arial" w:cs="Arial"/>
        </w:rPr>
        <w:t xml:space="preserve"> Fundación ONCE </w:t>
      </w:r>
      <w:r w:rsidRPr="003134EC">
        <w:rPr>
          <w:rFonts w:ascii="Arial" w:hAnsi="Arial" w:cs="Arial"/>
        </w:rPr>
        <w:t>dispone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 xml:space="preserve">a </w:t>
      </w:r>
      <w:hyperlink r:id="rId10" w:history="1">
        <w:r w:rsidR="00003B3A" w:rsidRPr="0050572C">
          <w:rPr>
            <w:rStyle w:val="Hipervnculo"/>
            <w:rFonts w:ascii="Arial" w:hAnsi="Arial" w:cs="Arial"/>
          </w:rPr>
          <w:t>sección de Transparencia (</w:t>
        </w:r>
        <w:r w:rsidR="00F2702F" w:rsidRPr="0050572C">
          <w:rPr>
            <w:rStyle w:val="Hipervnculo"/>
            <w:rFonts w:ascii="Arial" w:hAnsi="Arial" w:cs="Arial"/>
          </w:rPr>
          <w:t xml:space="preserve">Código Ético) </w:t>
        </w:r>
        <w:r w:rsidR="00896515" w:rsidRPr="0050572C">
          <w:rPr>
            <w:rStyle w:val="Hipervnculo"/>
            <w:rFonts w:ascii="Arial" w:hAnsi="Arial" w:cs="Arial"/>
          </w:rPr>
          <w:t>de la web</w:t>
        </w:r>
      </w:hyperlink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4E064789" w:rsidR="0050572C" w:rsidRDefault="00A73D86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Fundación ONCE</w:t>
      </w:r>
      <w:r w:rsidR="0050572C">
        <w:rPr>
          <w:rFonts w:ascii="Arial" w:hAnsi="Arial" w:cs="Arial"/>
        </w:rPr>
        <w:t xml:space="preserve"> se</w:t>
      </w:r>
      <w:r w:rsidR="003134EC" w:rsidRPr="003134EC">
        <w:rPr>
          <w:rFonts w:ascii="Arial" w:hAnsi="Arial" w:cs="Arial"/>
        </w:rPr>
        <w:t xml:space="preserve"> reserva la facultad de solicitar al arrendador documentación relativa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61F340FD" w14:textId="77777777" w:rsidR="0050572C" w:rsidRDefault="005057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SEGUNDO</w:t>
      </w:r>
      <w:r w:rsidR="00E75B7B" w:rsidRPr="0052266A">
        <w:rPr>
          <w:rFonts w:ascii="Arial" w:hAnsi="Arial" w:cs="Arial"/>
          <w:b/>
        </w:rPr>
        <w:t xml:space="preserve"> 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 xml:space="preserve">La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7711DA02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50572C">
        <w:rPr>
          <w:rFonts w:ascii="Arial" w:hAnsi="Arial" w:cs="Arial"/>
        </w:rPr>
        <w:t>Fundación ONCE</w:t>
      </w:r>
      <w:r w:rsidRPr="0052266A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1"/>
      <w:footerReference w:type="even" r:id="rId12"/>
      <w:footerReference w:type="first" r:id="rId13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16AD" w14:textId="77777777" w:rsidR="00953393" w:rsidRDefault="00953393" w:rsidP="00DC5923">
      <w:pPr>
        <w:spacing w:after="0" w:line="240" w:lineRule="auto"/>
      </w:pPr>
      <w:r>
        <w:separator/>
      </w:r>
    </w:p>
  </w:endnote>
  <w:endnote w:type="continuationSeparator" w:id="0">
    <w:p w14:paraId="562ED278" w14:textId="77777777" w:rsidR="00953393" w:rsidRDefault="00953393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79E88C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69515F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0928" w14:textId="77777777" w:rsidR="00953393" w:rsidRDefault="00953393" w:rsidP="00DC5923">
      <w:pPr>
        <w:spacing w:after="0" w:line="240" w:lineRule="auto"/>
      </w:pPr>
      <w:r>
        <w:separator/>
      </w:r>
    </w:p>
  </w:footnote>
  <w:footnote w:type="continuationSeparator" w:id="0">
    <w:p w14:paraId="2AC88CD7" w14:textId="77777777" w:rsidR="00953393" w:rsidRDefault="00953393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7C492095" w:rsidR="00AA1D98" w:rsidRPr="00D64059" w:rsidRDefault="00D64059" w:rsidP="00D64059">
    <w:pPr>
      <w:pStyle w:val="Encabezado"/>
    </w:pPr>
    <w:r>
      <w:rPr>
        <w:noProof/>
      </w:rPr>
      <w:drawing>
        <wp:inline distT="0" distB="0" distL="0" distR="0" wp14:anchorId="1C73E3A0" wp14:editId="1EC0921B">
          <wp:extent cx="5400040" cy="629285"/>
          <wp:effectExtent l="0" t="0" r="0" b="0"/>
          <wp:docPr id="5461471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47181" name="Imagen 546147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BEF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0572C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2B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3D86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64059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ruposocialonce.com/gobernanza-y-transparenc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6a7a5af-2673-4cd8-a85a-985f4938c1fd">
      <Terms xmlns="http://schemas.microsoft.com/office/infopath/2007/PartnerControls"/>
    </lcf76f155ced4ddcb4097134ff3c332f>
    <TaxCatchAll xmlns="808a4c5a-f69c-4a95-bbd5-e4dd607bcd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2585EED43674A9EF147CB9E94A188" ma:contentTypeVersion="21" ma:contentTypeDescription="Crear nuevo documento." ma:contentTypeScope="" ma:versionID="03288bafeee216bb7c3901ba008d2d42">
  <xsd:schema xmlns:xsd="http://www.w3.org/2001/XMLSchema" xmlns:xs="http://www.w3.org/2001/XMLSchema" xmlns:p="http://schemas.microsoft.com/office/2006/metadata/properties" xmlns:ns1="http://schemas.microsoft.com/sharepoint/v3" xmlns:ns2="36a7a5af-2673-4cd8-a85a-985f4938c1fd" xmlns:ns3="808a4c5a-f69c-4a95-bbd5-e4dd607bcd88" targetNamespace="http://schemas.microsoft.com/office/2006/metadata/properties" ma:root="true" ma:fieldsID="b47c90dc5ec2980642fb8ff814699f4a" ns1:_="" ns2:_="" ns3:_="">
    <xsd:import namespace="http://schemas.microsoft.com/sharepoint/v3"/>
    <xsd:import namespace="36a7a5af-2673-4cd8-a85a-985f4938c1fd"/>
    <xsd:import namespace="808a4c5a-f69c-4a95-bbd5-e4dd607b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a5af-2673-4cd8-a85a-985f4938c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a4c5a-f69c-4a95-bbd5-e4dd607bc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e307ff-88c7-4400-a099-5a84ffea69a1}" ma:internalName="TaxCatchAll" ma:showField="CatchAllData" ma:web="808a4c5a-f69c-4a95-bbd5-e4dd607bc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C6B2F-4E35-4CEB-BE93-A8653DCD2851}">
  <ds:schemaRefs>
    <ds:schemaRef ds:uri="http://schemas.microsoft.com/sharepoint/v3"/>
    <ds:schemaRef ds:uri="1db8769b-1c17-484f-b33b-7d6b695b989e"/>
    <ds:schemaRef ds:uri="http://purl.org/dc/terms/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36a7a5af-2673-4cd8-a85a-985f4938c1fd"/>
    <ds:schemaRef ds:uri="808a4c5a-f69c-4a95-bbd5-e4dd607bcd88"/>
  </ds:schemaRefs>
</ds:datastoreItem>
</file>

<file path=customXml/itemProps2.xml><?xml version="1.0" encoding="utf-8"?>
<ds:datastoreItem xmlns:ds="http://schemas.openxmlformats.org/officeDocument/2006/customXml" ds:itemID="{42A34688-0C61-4EFA-83CF-AE1BEE54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7a5af-2673-4cd8-a85a-985f4938c1fd"/>
    <ds:schemaRef ds:uri="808a4c5a-f69c-4a95-bbd5-e4dd607b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4722</Characters>
  <Application>Microsoft Office Word</Application>
  <DocSecurity>0</DocSecurity>
  <Lines>94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Cid Campos, Paloma</cp:lastModifiedBy>
  <cp:revision>5</cp:revision>
  <cp:lastPrinted>2024-03-21T08:58:00Z</cp:lastPrinted>
  <dcterms:created xsi:type="dcterms:W3CDTF">2026-03-02T11:36:00Z</dcterms:created>
  <dcterms:modified xsi:type="dcterms:W3CDTF">2026-03-02T11:45:00Z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0x0101000462585EED43674A9EF147CB9E94A188</vt:lpwstr>
  </property>
  <property fmtid="{D5CDD505-2E9C-101B-9397-08002B2CF9AE}" pid="13" name="MediaServiceImageTags">
    <vt:lpwstr/>
  </property>
</Properties>
</file>