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433B9B" w:rsidTr="00636B4B">
        <w:trPr>
          <w:trHeight w:hRule="exact" w:val="3629"/>
        </w:trPr>
        <w:tc>
          <w:tcPr>
            <w:tcW w:w="4990" w:type="dxa"/>
            <w:vAlign w:val="center"/>
          </w:tcPr>
          <w:p w:rsidR="00433B9B" w:rsidRDefault="00EE3AA1" w:rsidP="00636B4B">
            <w:pPr>
              <w:pStyle w:val="Portada"/>
              <w:ind w:left="284" w:right="284"/>
              <w:rPr>
                <w:b/>
                <w:sz w:val="36"/>
                <w:szCs w:val="36"/>
              </w:rPr>
            </w:pPr>
            <w:bookmarkStart w:id="0" w:name="_GoBack"/>
            <w:bookmarkEnd w:id="0"/>
            <w:r>
              <w:rPr>
                <w:b/>
                <w:sz w:val="36"/>
                <w:szCs w:val="36"/>
              </w:rPr>
              <w:t>GRUPO ILUNION</w:t>
            </w:r>
            <w:r w:rsidR="005F4182">
              <w:rPr>
                <w:b/>
                <w:sz w:val="36"/>
                <w:szCs w:val="36"/>
              </w:rPr>
              <w:t>, S.L</w:t>
            </w:r>
            <w:r w:rsidR="0088315E">
              <w:rPr>
                <w:b/>
                <w:sz w:val="36"/>
                <w:szCs w:val="36"/>
              </w:rPr>
              <w:t>.</w:t>
            </w:r>
            <w:r w:rsidR="00414852">
              <w:rPr>
                <w:b/>
                <w:sz w:val="36"/>
                <w:szCs w:val="36"/>
              </w:rPr>
              <w:t xml:space="preserve"> </w:t>
            </w:r>
          </w:p>
          <w:p w:rsidR="00433B9B" w:rsidRDefault="00433B9B" w:rsidP="00636B4B">
            <w:pPr>
              <w:pStyle w:val="Portada"/>
              <w:ind w:left="284" w:right="284"/>
              <w:rPr>
                <w:sz w:val="24"/>
              </w:rPr>
            </w:pPr>
          </w:p>
          <w:p w:rsidR="00A30A33" w:rsidRDefault="00433B9B" w:rsidP="00636B4B">
            <w:pPr>
              <w:pStyle w:val="Portada"/>
              <w:ind w:left="284" w:right="284"/>
              <w:rPr>
                <w:sz w:val="24"/>
              </w:rPr>
            </w:pPr>
            <w:r>
              <w:rPr>
                <w:sz w:val="24"/>
              </w:rPr>
              <w:t>Cu</w:t>
            </w:r>
            <w:r w:rsidR="005F4182">
              <w:rPr>
                <w:sz w:val="24"/>
              </w:rPr>
              <w:t xml:space="preserve">entas Anuales del </w:t>
            </w:r>
          </w:p>
          <w:p w:rsidR="00433B9B" w:rsidRDefault="005F4182" w:rsidP="00636B4B">
            <w:pPr>
              <w:pStyle w:val="Portada"/>
              <w:ind w:left="284" w:right="284"/>
              <w:rPr>
                <w:sz w:val="24"/>
              </w:rPr>
            </w:pPr>
            <w:r>
              <w:rPr>
                <w:sz w:val="24"/>
              </w:rPr>
              <w:t>ejercicio 2015</w:t>
            </w:r>
            <w:r w:rsidR="00433B9B">
              <w:rPr>
                <w:sz w:val="24"/>
              </w:rPr>
              <w:t xml:space="preserve"> e </w:t>
            </w:r>
          </w:p>
          <w:p w:rsidR="00433B9B" w:rsidRDefault="00433B9B" w:rsidP="00636B4B">
            <w:pPr>
              <w:pStyle w:val="Portada"/>
              <w:ind w:left="284" w:right="284"/>
              <w:rPr>
                <w:sz w:val="24"/>
              </w:rPr>
            </w:pPr>
            <w:r>
              <w:rPr>
                <w:sz w:val="24"/>
              </w:rPr>
              <w:t xml:space="preserve">Informe de Gestión, junto con el </w:t>
            </w:r>
          </w:p>
          <w:p w:rsidR="00433B9B" w:rsidRDefault="00433B9B" w:rsidP="00636B4B">
            <w:pPr>
              <w:pStyle w:val="Portada"/>
              <w:ind w:left="284" w:right="284"/>
            </w:pPr>
            <w:r>
              <w:rPr>
                <w:sz w:val="24"/>
              </w:rPr>
              <w:t>Informe de Auditoría Independiente</w:t>
            </w:r>
          </w:p>
        </w:tc>
      </w:tr>
    </w:tbl>
    <w:p w:rsidR="00433B9B" w:rsidRDefault="00433B9B" w:rsidP="00433B9B"/>
    <w:p w:rsidR="00433B9B" w:rsidRDefault="00433B9B" w:rsidP="00433B9B">
      <w:pPr>
        <w:pStyle w:val="Portada"/>
        <w:sectPr w:rsidR="00433B9B">
          <w:footerReference w:type="even" r:id="rId9"/>
          <w:footerReference w:type="default" r:id="rId10"/>
          <w:pgSz w:w="11907" w:h="16840" w:code="9"/>
          <w:pgMar w:top="4026" w:right="1928" w:bottom="851" w:left="3788" w:header="1418" w:footer="1418" w:gutter="0"/>
          <w:pgNumType w:start="1"/>
          <w:cols w:space="720"/>
          <w:titlePg/>
        </w:sectPr>
      </w:pPr>
    </w:p>
    <w:p w:rsidR="00433B9B" w:rsidRPr="00A47A0C" w:rsidRDefault="00433B9B" w:rsidP="00A30A33">
      <w:pPr>
        <w:pStyle w:val="accionistas"/>
        <w:spacing w:before="840" w:after="240"/>
        <w:rPr>
          <w:rFonts w:ascii="Times New Roman" w:hAnsi="Times New Roman"/>
          <w:bCs/>
          <w:sz w:val="21"/>
          <w:szCs w:val="21"/>
          <w:u w:val="single"/>
        </w:rPr>
      </w:pPr>
      <w:r w:rsidRPr="00A47A0C">
        <w:rPr>
          <w:rFonts w:ascii="Times New Roman" w:hAnsi="Times New Roman"/>
          <w:bCs/>
          <w:sz w:val="21"/>
          <w:szCs w:val="21"/>
          <w:u w:val="single"/>
        </w:rPr>
        <w:lastRenderedPageBreak/>
        <w:t xml:space="preserve">INFORME DE AUDITORÍA </w:t>
      </w:r>
      <w:r>
        <w:rPr>
          <w:rFonts w:ascii="Times New Roman" w:hAnsi="Times New Roman"/>
          <w:bCs/>
          <w:sz w:val="21"/>
          <w:szCs w:val="21"/>
          <w:u w:val="single"/>
        </w:rPr>
        <w:t xml:space="preserve">INDEPENDIENTE </w:t>
      </w:r>
      <w:r w:rsidRPr="00A47A0C">
        <w:rPr>
          <w:rFonts w:ascii="Times New Roman" w:hAnsi="Times New Roman"/>
          <w:bCs/>
          <w:sz w:val="21"/>
          <w:szCs w:val="21"/>
          <w:u w:val="single"/>
        </w:rPr>
        <w:t>DE CUENTAS ANUALES</w:t>
      </w:r>
    </w:p>
    <w:p w:rsidR="00433B9B" w:rsidRDefault="005F4182" w:rsidP="00A30A33">
      <w:pPr>
        <w:pStyle w:val="accionistas"/>
        <w:spacing w:after="240"/>
        <w:rPr>
          <w:rFonts w:ascii="Times New Roman" w:hAnsi="Times New Roman"/>
          <w:sz w:val="21"/>
          <w:szCs w:val="21"/>
        </w:rPr>
      </w:pPr>
      <w:r>
        <w:rPr>
          <w:rFonts w:ascii="Times New Roman" w:hAnsi="Times New Roman"/>
          <w:sz w:val="21"/>
          <w:szCs w:val="21"/>
        </w:rPr>
        <w:t>A los Socios de</w:t>
      </w:r>
      <w:r w:rsidR="0088315E">
        <w:rPr>
          <w:rFonts w:ascii="Times New Roman" w:hAnsi="Times New Roman"/>
          <w:sz w:val="21"/>
          <w:szCs w:val="21"/>
        </w:rPr>
        <w:t xml:space="preserve"> </w:t>
      </w:r>
      <w:r w:rsidR="0088315E">
        <w:rPr>
          <w:rFonts w:ascii="Times New Roman" w:hAnsi="Times New Roman"/>
          <w:sz w:val="21"/>
          <w:szCs w:val="21"/>
        </w:rPr>
        <w:br/>
      </w:r>
      <w:r w:rsidR="00EE3AA1">
        <w:rPr>
          <w:rFonts w:ascii="Times New Roman" w:hAnsi="Times New Roman"/>
          <w:sz w:val="21"/>
          <w:szCs w:val="21"/>
        </w:rPr>
        <w:t>GRUPO ILUNION</w:t>
      </w:r>
      <w:r>
        <w:rPr>
          <w:rFonts w:ascii="Times New Roman" w:hAnsi="Times New Roman"/>
          <w:sz w:val="21"/>
          <w:szCs w:val="21"/>
        </w:rPr>
        <w:t>, S.L</w:t>
      </w:r>
      <w:r w:rsidR="00433B9B">
        <w:rPr>
          <w:rFonts w:ascii="Times New Roman" w:hAnsi="Times New Roman"/>
          <w:sz w:val="21"/>
          <w:szCs w:val="21"/>
        </w:rPr>
        <w:t>.</w:t>
      </w:r>
      <w:r w:rsidR="00433B9B" w:rsidRPr="00A47A0C">
        <w:rPr>
          <w:rFonts w:ascii="Times New Roman" w:hAnsi="Times New Roman"/>
          <w:sz w:val="21"/>
          <w:szCs w:val="21"/>
        </w:rPr>
        <w:t>:</w:t>
      </w:r>
    </w:p>
    <w:p w:rsidR="00433B9B" w:rsidRPr="00807BE8" w:rsidRDefault="00433B9B" w:rsidP="00A30A33">
      <w:pPr>
        <w:pStyle w:val="accionistas"/>
        <w:spacing w:after="240"/>
        <w:rPr>
          <w:rFonts w:ascii="Times New Roman" w:hAnsi="Times New Roman"/>
          <w:b/>
          <w:sz w:val="21"/>
          <w:szCs w:val="21"/>
        </w:rPr>
      </w:pPr>
      <w:r w:rsidRPr="00807BE8">
        <w:rPr>
          <w:rFonts w:ascii="Times New Roman" w:hAnsi="Times New Roman"/>
          <w:b/>
          <w:sz w:val="21"/>
          <w:szCs w:val="21"/>
        </w:rPr>
        <w:t>Informe sobre las cuentas anuales</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 xml:space="preserve">Hemos auditado las cuentas anuales adjuntas de </w:t>
      </w:r>
      <w:r w:rsidR="00EE3AA1">
        <w:rPr>
          <w:rFonts w:ascii="Times New Roman" w:hAnsi="Times New Roman"/>
          <w:sz w:val="21"/>
          <w:szCs w:val="21"/>
        </w:rPr>
        <w:t>GRUPO ILUNION</w:t>
      </w:r>
      <w:r w:rsidR="00A45985">
        <w:rPr>
          <w:rFonts w:ascii="Times New Roman" w:hAnsi="Times New Roman"/>
          <w:sz w:val="21"/>
          <w:szCs w:val="21"/>
        </w:rPr>
        <w:t xml:space="preserve">, </w:t>
      </w:r>
      <w:r w:rsidR="005F4182">
        <w:rPr>
          <w:rFonts w:ascii="Times New Roman" w:hAnsi="Times New Roman"/>
          <w:sz w:val="21"/>
          <w:szCs w:val="21"/>
        </w:rPr>
        <w:t>S.L</w:t>
      </w:r>
      <w:r w:rsidR="00A90644">
        <w:rPr>
          <w:rFonts w:ascii="Times New Roman" w:hAnsi="Times New Roman"/>
          <w:sz w:val="21"/>
          <w:szCs w:val="21"/>
        </w:rPr>
        <w:t>.</w:t>
      </w:r>
      <w:r w:rsidRPr="00807BE8">
        <w:rPr>
          <w:rFonts w:ascii="Times New Roman" w:hAnsi="Times New Roman"/>
          <w:sz w:val="21"/>
          <w:szCs w:val="21"/>
        </w:rPr>
        <w:t xml:space="preserve">, que comprenden el </w:t>
      </w:r>
      <w:r>
        <w:rPr>
          <w:rFonts w:ascii="Times New Roman" w:hAnsi="Times New Roman"/>
          <w:sz w:val="21"/>
          <w:szCs w:val="21"/>
        </w:rPr>
        <w:t>b</w:t>
      </w:r>
      <w:r w:rsidR="005F4182">
        <w:rPr>
          <w:rFonts w:ascii="Times New Roman" w:hAnsi="Times New Roman"/>
          <w:sz w:val="21"/>
          <w:szCs w:val="21"/>
        </w:rPr>
        <w:t>alance a 31 de diciembre de 2015</w:t>
      </w:r>
      <w:r w:rsidR="00414852">
        <w:rPr>
          <w:rFonts w:ascii="Times New Roman" w:hAnsi="Times New Roman"/>
          <w:sz w:val="21"/>
          <w:szCs w:val="21"/>
        </w:rPr>
        <w:t xml:space="preserve"> y </w:t>
      </w:r>
      <w:r w:rsidRPr="00807BE8">
        <w:rPr>
          <w:rFonts w:ascii="Times New Roman" w:hAnsi="Times New Roman"/>
          <w:sz w:val="21"/>
          <w:szCs w:val="21"/>
        </w:rPr>
        <w:t xml:space="preserve">la cuenta de pérdidas y ganancias, el estado de cambios en el patrimonio neto, el estado de flujos de efectivo y la memoria correspondientes al ejercicio </w:t>
      </w:r>
      <w:r w:rsidR="00414852">
        <w:rPr>
          <w:rFonts w:ascii="Times New Roman" w:hAnsi="Times New Roman"/>
          <w:sz w:val="21"/>
          <w:szCs w:val="21"/>
        </w:rPr>
        <w:t xml:space="preserve">anual </w:t>
      </w:r>
      <w:r w:rsidRPr="00807BE8">
        <w:rPr>
          <w:rFonts w:ascii="Times New Roman" w:hAnsi="Times New Roman"/>
          <w:sz w:val="21"/>
          <w:szCs w:val="21"/>
        </w:rPr>
        <w:t>terminado en dicha fecha.</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Responsabilidad de</w:t>
      </w:r>
      <w:r w:rsidR="00A45985">
        <w:rPr>
          <w:rFonts w:ascii="Times New Roman" w:hAnsi="Times New Roman"/>
          <w:i/>
          <w:sz w:val="21"/>
          <w:szCs w:val="21"/>
        </w:rPr>
        <w:t xml:space="preserve"> </w:t>
      </w:r>
      <w:r>
        <w:rPr>
          <w:rFonts w:ascii="Times New Roman" w:hAnsi="Times New Roman"/>
          <w:i/>
          <w:sz w:val="21"/>
          <w:szCs w:val="21"/>
        </w:rPr>
        <w:t>l</w:t>
      </w:r>
      <w:r w:rsidR="00A45985">
        <w:rPr>
          <w:rFonts w:ascii="Times New Roman" w:hAnsi="Times New Roman"/>
          <w:i/>
          <w:sz w:val="21"/>
          <w:szCs w:val="21"/>
        </w:rPr>
        <w:t>os</w:t>
      </w:r>
      <w:r>
        <w:rPr>
          <w:rFonts w:ascii="Times New Roman" w:hAnsi="Times New Roman"/>
          <w:i/>
          <w:sz w:val="21"/>
          <w:szCs w:val="21"/>
        </w:rPr>
        <w:t xml:space="preserve"> Administrador</w:t>
      </w:r>
      <w:r w:rsidR="00A45985">
        <w:rPr>
          <w:rFonts w:ascii="Times New Roman" w:hAnsi="Times New Roman"/>
          <w:i/>
          <w:sz w:val="21"/>
          <w:szCs w:val="21"/>
        </w:rPr>
        <w:t>es</w:t>
      </w:r>
      <w:r>
        <w:rPr>
          <w:rFonts w:ascii="Times New Roman" w:hAnsi="Times New Roman"/>
          <w:i/>
          <w:sz w:val="21"/>
          <w:szCs w:val="21"/>
        </w:rPr>
        <w:t xml:space="preserve"> </w:t>
      </w:r>
      <w:r w:rsidRPr="00807BE8">
        <w:rPr>
          <w:rFonts w:ascii="Times New Roman" w:hAnsi="Times New Roman"/>
          <w:i/>
          <w:sz w:val="21"/>
          <w:szCs w:val="21"/>
        </w:rPr>
        <w:t xml:space="preserve">en relación con las cuentas anuales </w:t>
      </w:r>
    </w:p>
    <w:p w:rsidR="00433B9B" w:rsidRDefault="00A45985" w:rsidP="00A30A33">
      <w:pPr>
        <w:pStyle w:val="opinincn"/>
        <w:ind w:left="0" w:firstLine="0"/>
        <w:rPr>
          <w:rFonts w:ascii="Times New Roman" w:hAnsi="Times New Roman"/>
          <w:sz w:val="21"/>
          <w:szCs w:val="21"/>
        </w:rPr>
      </w:pPr>
      <w:r>
        <w:rPr>
          <w:rFonts w:ascii="Times New Roman" w:hAnsi="Times New Roman"/>
          <w:sz w:val="21"/>
          <w:szCs w:val="21"/>
        </w:rPr>
        <w:t>Los Administradores</w:t>
      </w:r>
      <w:r w:rsidR="00433B9B" w:rsidRPr="00807BE8">
        <w:rPr>
          <w:rFonts w:ascii="Times New Roman" w:hAnsi="Times New Roman"/>
          <w:sz w:val="21"/>
          <w:szCs w:val="21"/>
        </w:rPr>
        <w:t xml:space="preserve"> </w:t>
      </w:r>
      <w:r w:rsidR="00433B9B">
        <w:rPr>
          <w:rFonts w:ascii="Times New Roman" w:hAnsi="Times New Roman"/>
          <w:sz w:val="21"/>
          <w:szCs w:val="21"/>
        </w:rPr>
        <w:t>s</w:t>
      </w:r>
      <w:r>
        <w:rPr>
          <w:rFonts w:ascii="Times New Roman" w:hAnsi="Times New Roman"/>
          <w:sz w:val="21"/>
          <w:szCs w:val="21"/>
        </w:rPr>
        <w:t>on</w:t>
      </w:r>
      <w:r w:rsidR="00433B9B" w:rsidRPr="00807BE8">
        <w:rPr>
          <w:rFonts w:ascii="Times New Roman" w:hAnsi="Times New Roman"/>
          <w:sz w:val="21"/>
          <w:szCs w:val="21"/>
        </w:rPr>
        <w:t xml:space="preserve"> responsable</w:t>
      </w:r>
      <w:r>
        <w:rPr>
          <w:rFonts w:ascii="Times New Roman" w:hAnsi="Times New Roman"/>
          <w:sz w:val="21"/>
          <w:szCs w:val="21"/>
        </w:rPr>
        <w:t>s</w:t>
      </w:r>
      <w:r w:rsidR="00433B9B" w:rsidRPr="00807BE8">
        <w:rPr>
          <w:rFonts w:ascii="Times New Roman" w:hAnsi="Times New Roman"/>
          <w:sz w:val="21"/>
          <w:szCs w:val="21"/>
        </w:rPr>
        <w:t xml:space="preserve"> de formular las cuentas anuales adjuntas, de forma que expresen la imagen fiel del patrimonio, de la situación fi</w:t>
      </w:r>
      <w:r w:rsidR="0088315E">
        <w:rPr>
          <w:rFonts w:ascii="Times New Roman" w:hAnsi="Times New Roman"/>
          <w:sz w:val="21"/>
          <w:szCs w:val="21"/>
        </w:rPr>
        <w:t>nanciera y de los resultados de</w:t>
      </w:r>
      <w:r w:rsidR="00855C93">
        <w:rPr>
          <w:rFonts w:ascii="Times New Roman" w:hAnsi="Times New Roman"/>
          <w:sz w:val="21"/>
          <w:szCs w:val="21"/>
        </w:rPr>
        <w:t xml:space="preserve"> </w:t>
      </w:r>
      <w:r w:rsidR="00EE3AA1">
        <w:rPr>
          <w:rFonts w:ascii="Times New Roman" w:hAnsi="Times New Roman"/>
          <w:sz w:val="21"/>
          <w:szCs w:val="21"/>
        </w:rPr>
        <w:t>GRUPO ILUNION</w:t>
      </w:r>
      <w:r w:rsidR="005F4182">
        <w:rPr>
          <w:rFonts w:ascii="Times New Roman" w:hAnsi="Times New Roman"/>
          <w:sz w:val="21"/>
          <w:szCs w:val="21"/>
        </w:rPr>
        <w:t>, S.L</w:t>
      </w:r>
      <w:r w:rsidR="0088315E">
        <w:rPr>
          <w:rFonts w:ascii="Times New Roman" w:hAnsi="Times New Roman"/>
          <w:sz w:val="21"/>
          <w:szCs w:val="21"/>
        </w:rPr>
        <w:t>.</w:t>
      </w:r>
      <w:r w:rsidR="00433B9B" w:rsidRPr="00807BE8">
        <w:rPr>
          <w:rFonts w:ascii="Times New Roman" w:hAnsi="Times New Roman"/>
          <w:sz w:val="21"/>
          <w:szCs w:val="21"/>
        </w:rPr>
        <w:t xml:space="preserve">, de conformidad con el marco normativo de información financiera aplicable a la entidad en España, que se identifica </w:t>
      </w:r>
      <w:r w:rsidR="00433B9B" w:rsidRPr="008E4638">
        <w:rPr>
          <w:rFonts w:ascii="Times New Roman" w:hAnsi="Times New Roman"/>
          <w:sz w:val="21"/>
          <w:szCs w:val="21"/>
        </w:rPr>
        <w:t xml:space="preserve">en la </w:t>
      </w:r>
      <w:r w:rsidR="00855C93">
        <w:rPr>
          <w:rFonts w:ascii="Times New Roman" w:hAnsi="Times New Roman"/>
          <w:sz w:val="21"/>
          <w:szCs w:val="21"/>
        </w:rPr>
        <w:t>Nota 2.1</w:t>
      </w:r>
      <w:r w:rsidR="00433B9B" w:rsidRPr="008E4638">
        <w:rPr>
          <w:rFonts w:ascii="Times New Roman" w:hAnsi="Times New Roman"/>
          <w:sz w:val="21"/>
          <w:szCs w:val="21"/>
        </w:rPr>
        <w:t xml:space="preserve"> de la memoria adjunta, y del control interno que consideren necesario para permitir la preparación de cuentas anuales libres de incorrección</w:t>
      </w:r>
      <w:r w:rsidR="00433B9B" w:rsidRPr="00807BE8">
        <w:rPr>
          <w:rFonts w:ascii="Times New Roman" w:hAnsi="Times New Roman"/>
          <w:sz w:val="21"/>
          <w:szCs w:val="21"/>
        </w:rPr>
        <w:t xml:space="preserve"> material, debida a fraude o error.</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Responsabilidad del auditor</w:t>
      </w:r>
    </w:p>
    <w:p w:rsidR="00433B9B" w:rsidRDefault="00433B9B" w:rsidP="00A30A33">
      <w:pPr>
        <w:spacing w:after="240"/>
        <w:jc w:val="both"/>
        <w:rPr>
          <w:rFonts w:ascii="Times New Roman" w:hAnsi="Times New Roman"/>
          <w:sz w:val="21"/>
          <w:szCs w:val="21"/>
        </w:rPr>
      </w:pPr>
      <w:r w:rsidRPr="00807BE8">
        <w:rPr>
          <w:rFonts w:ascii="Times New Roman" w:hAnsi="Times New Roman"/>
          <w:sz w:val="21"/>
          <w:szCs w:val="21"/>
        </w:rPr>
        <w:t>Nuestra responsabilidad es expresar una opinión sobre las cuentas anuales adjuntas basada en nuestra auditoría. Hemos llevado a cabo nuestra auditoría de conformidad con la normativa reguladora de la auditoría de cuentas vigente en España. Dicha normativa exige que cumplamos los requerimientos de ética, así como que planifiquemos y ejecutemos la auditoría con el fin de obtener una seguridad razonable de que las cuentas anuales están libres de incorrecciones materiales.</w:t>
      </w:r>
    </w:p>
    <w:p w:rsidR="00433B9B" w:rsidRDefault="00433B9B" w:rsidP="00A30A33">
      <w:pPr>
        <w:spacing w:after="240"/>
        <w:jc w:val="both"/>
        <w:rPr>
          <w:rFonts w:ascii="Times New Roman" w:hAnsi="Times New Roman"/>
          <w:sz w:val="21"/>
          <w:szCs w:val="21"/>
        </w:rPr>
      </w:pPr>
      <w:r w:rsidRPr="00807BE8">
        <w:rPr>
          <w:rFonts w:ascii="Times New Roman" w:hAnsi="Times New Roman"/>
          <w:sz w:val="21"/>
          <w:szCs w:val="21"/>
        </w:rPr>
        <w:t>Una auditoría requiere la aplicación de procedimientos para obtener evidencia de auditoría sobre los importes y la información revelada en las cuentas anuales. 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conjunto.</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Consideramos que la evidencia de auditoría que hemos obtenido proporciona una base suficiente y adecuada para nuestra opinión de auditoría.</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Opinión</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 xml:space="preserve">En nuestra opinión, las cuentas anuales adjuntas expresan, en todos los aspectos significativos, la imagen fiel del patrimonio </w:t>
      </w:r>
      <w:r w:rsidR="0088315E">
        <w:rPr>
          <w:rFonts w:ascii="Times New Roman" w:hAnsi="Times New Roman"/>
          <w:sz w:val="21"/>
          <w:szCs w:val="21"/>
        </w:rPr>
        <w:t>y de la situación financiera de</w:t>
      </w:r>
      <w:r w:rsidR="00855C93">
        <w:rPr>
          <w:rFonts w:ascii="Times New Roman" w:hAnsi="Times New Roman"/>
          <w:sz w:val="21"/>
          <w:szCs w:val="21"/>
        </w:rPr>
        <w:t xml:space="preserve"> </w:t>
      </w:r>
      <w:r w:rsidR="00EE3AA1">
        <w:rPr>
          <w:rFonts w:ascii="Times New Roman" w:hAnsi="Times New Roman"/>
          <w:sz w:val="21"/>
          <w:szCs w:val="21"/>
        </w:rPr>
        <w:t>GRUPO ILUNION</w:t>
      </w:r>
      <w:r w:rsidR="005F4182">
        <w:rPr>
          <w:rFonts w:ascii="Times New Roman" w:hAnsi="Times New Roman"/>
          <w:sz w:val="21"/>
          <w:szCs w:val="21"/>
        </w:rPr>
        <w:t>, S.L</w:t>
      </w:r>
      <w:r w:rsidR="00A45985">
        <w:rPr>
          <w:rFonts w:ascii="Times New Roman" w:hAnsi="Times New Roman"/>
          <w:sz w:val="21"/>
          <w:szCs w:val="21"/>
        </w:rPr>
        <w:t>.</w:t>
      </w:r>
      <w:r w:rsidR="00414852">
        <w:rPr>
          <w:rFonts w:ascii="Times New Roman" w:hAnsi="Times New Roman"/>
          <w:sz w:val="21"/>
          <w:szCs w:val="21"/>
        </w:rPr>
        <w:t xml:space="preserve"> </w:t>
      </w:r>
      <w:r w:rsidRPr="00807BE8">
        <w:rPr>
          <w:rFonts w:ascii="Times New Roman" w:hAnsi="Times New Roman"/>
          <w:sz w:val="21"/>
          <w:szCs w:val="21"/>
        </w:rPr>
        <w:t>a 31 de diciembre de 20</w:t>
      </w:r>
      <w:r w:rsidR="005F4182">
        <w:rPr>
          <w:rFonts w:ascii="Times New Roman" w:hAnsi="Times New Roman"/>
          <w:sz w:val="21"/>
          <w:szCs w:val="21"/>
        </w:rPr>
        <w:t>15</w:t>
      </w:r>
      <w:r w:rsidRPr="00807BE8">
        <w:rPr>
          <w:rFonts w:ascii="Times New Roman" w:hAnsi="Times New Roman"/>
          <w:sz w:val="21"/>
          <w:szCs w:val="21"/>
        </w:rPr>
        <w:t>, así como de sus resultados y flujos de efectivo correspondientes al ejercicio anual terminado en dicha fecha, de conformidad con el marco normativo de información financiera que resulta de aplicación y, en particular, con los principios y criterios contables contenidos en el mismo.</w:t>
      </w:r>
    </w:p>
    <w:p w:rsidR="00A30A33" w:rsidRDefault="00A30A33">
      <w:pPr>
        <w:spacing w:after="200" w:line="276" w:lineRule="auto"/>
        <w:rPr>
          <w:rFonts w:ascii="Times New Roman" w:hAnsi="Times New Roman"/>
          <w:b/>
          <w:sz w:val="21"/>
          <w:szCs w:val="21"/>
        </w:rPr>
      </w:pPr>
      <w:r>
        <w:rPr>
          <w:rFonts w:ascii="Times New Roman" w:hAnsi="Times New Roman"/>
          <w:b/>
          <w:sz w:val="21"/>
          <w:szCs w:val="21"/>
        </w:rPr>
        <w:br w:type="page"/>
      </w:r>
    </w:p>
    <w:p w:rsidR="00433B9B" w:rsidRPr="00807BE8" w:rsidRDefault="00433B9B" w:rsidP="00A30A33">
      <w:pPr>
        <w:spacing w:after="240"/>
        <w:jc w:val="both"/>
        <w:rPr>
          <w:rFonts w:ascii="Times New Roman" w:hAnsi="Times New Roman"/>
          <w:b/>
          <w:sz w:val="21"/>
          <w:szCs w:val="21"/>
        </w:rPr>
      </w:pPr>
      <w:r w:rsidRPr="00807BE8">
        <w:rPr>
          <w:rFonts w:ascii="Times New Roman" w:hAnsi="Times New Roman"/>
          <w:b/>
          <w:sz w:val="21"/>
          <w:szCs w:val="21"/>
        </w:rPr>
        <w:lastRenderedPageBreak/>
        <w:t>Informe sobre otros requerimientos legales y reglamentarios</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El informe de gestión del ejercicio 20</w:t>
      </w:r>
      <w:r w:rsidR="005F4182">
        <w:rPr>
          <w:rFonts w:ascii="Times New Roman" w:hAnsi="Times New Roman"/>
          <w:sz w:val="21"/>
          <w:szCs w:val="21"/>
        </w:rPr>
        <w:t>15</w:t>
      </w:r>
      <w:r w:rsidRPr="00807BE8">
        <w:rPr>
          <w:rFonts w:ascii="Times New Roman" w:hAnsi="Times New Roman"/>
          <w:sz w:val="21"/>
          <w:szCs w:val="21"/>
        </w:rPr>
        <w:t xml:space="preserve"> </w:t>
      </w:r>
      <w:r w:rsidR="00414852" w:rsidRPr="00807BE8">
        <w:rPr>
          <w:rFonts w:ascii="Times New Roman" w:hAnsi="Times New Roman"/>
          <w:sz w:val="21"/>
          <w:szCs w:val="21"/>
        </w:rPr>
        <w:t xml:space="preserve">adjunto </w:t>
      </w:r>
      <w:r w:rsidRPr="00807BE8">
        <w:rPr>
          <w:rFonts w:ascii="Times New Roman" w:hAnsi="Times New Roman"/>
          <w:sz w:val="21"/>
          <w:szCs w:val="21"/>
        </w:rPr>
        <w:t xml:space="preserve">contiene las explicaciones que </w:t>
      </w:r>
      <w:r w:rsidR="00103273">
        <w:rPr>
          <w:rFonts w:ascii="Times New Roman" w:hAnsi="Times New Roman"/>
          <w:sz w:val="21"/>
          <w:szCs w:val="21"/>
        </w:rPr>
        <w:t>los Administradores</w:t>
      </w:r>
      <w:r w:rsidRPr="00807BE8">
        <w:rPr>
          <w:rFonts w:ascii="Times New Roman" w:hAnsi="Times New Roman"/>
          <w:sz w:val="21"/>
          <w:szCs w:val="21"/>
        </w:rPr>
        <w:t xml:space="preserve"> considera</w:t>
      </w:r>
      <w:r w:rsidR="00103273">
        <w:rPr>
          <w:rFonts w:ascii="Times New Roman" w:hAnsi="Times New Roman"/>
          <w:sz w:val="21"/>
          <w:szCs w:val="21"/>
        </w:rPr>
        <w:t>n</w:t>
      </w:r>
      <w:r w:rsidRPr="00807BE8">
        <w:rPr>
          <w:rFonts w:ascii="Times New Roman" w:hAnsi="Times New Roman"/>
          <w:sz w:val="21"/>
          <w:szCs w:val="21"/>
        </w:rPr>
        <w:t xml:space="preserve"> oportunas sobre la situación de la </w:t>
      </w:r>
      <w:r w:rsidR="00414852">
        <w:rPr>
          <w:rFonts w:ascii="Times New Roman" w:hAnsi="Times New Roman"/>
          <w:sz w:val="21"/>
          <w:szCs w:val="21"/>
        </w:rPr>
        <w:t>S</w:t>
      </w:r>
      <w:r w:rsidRPr="00807BE8">
        <w:rPr>
          <w:rFonts w:ascii="Times New Roman" w:hAnsi="Times New Roman"/>
          <w:sz w:val="21"/>
          <w:szCs w:val="21"/>
        </w:rPr>
        <w:t>ociedad, la evolución de sus negocios y sobre otros asuntos y no forma parte integrante de las cuentas anuales. Hemos verificado que la información contable que contiene el citado informe de gestión concuerda con la de las cuentas anuales del ejercicio 20</w:t>
      </w:r>
      <w:r w:rsidR="005F4182">
        <w:rPr>
          <w:rFonts w:ascii="Times New Roman" w:hAnsi="Times New Roman"/>
          <w:sz w:val="21"/>
          <w:szCs w:val="21"/>
        </w:rPr>
        <w:t>15</w:t>
      </w:r>
      <w:r w:rsidRPr="00807BE8">
        <w:rPr>
          <w:rFonts w:ascii="Times New Roman" w:hAnsi="Times New Roman"/>
          <w:sz w:val="21"/>
          <w:szCs w:val="21"/>
        </w:rPr>
        <w:t>. Nuestro trabajo como auditores se limita a la verificación del informe de gestión con el alcance mencionado en este mismo párrafo y no incluye la revisión de información distinta de la obtenida a partir de</w:t>
      </w:r>
      <w:r>
        <w:rPr>
          <w:rFonts w:ascii="Times New Roman" w:hAnsi="Times New Roman"/>
          <w:sz w:val="21"/>
          <w:szCs w:val="21"/>
        </w:rPr>
        <w:t xml:space="preserve"> los registros contables de la S</w:t>
      </w:r>
      <w:r w:rsidRPr="00807BE8">
        <w:rPr>
          <w:rFonts w:ascii="Times New Roman" w:hAnsi="Times New Roman"/>
          <w:sz w:val="21"/>
          <w:szCs w:val="21"/>
        </w:rPr>
        <w:t>ociedad.</w:t>
      </w:r>
    </w:p>
    <w:p w:rsidR="00433B9B" w:rsidRPr="00A47A0C" w:rsidRDefault="00433B9B" w:rsidP="00A30A33">
      <w:pPr>
        <w:tabs>
          <w:tab w:val="left" w:pos="1134"/>
          <w:tab w:val="center" w:pos="6521"/>
        </w:tabs>
        <w:jc w:val="both"/>
        <w:rPr>
          <w:rFonts w:ascii="Times New Roman" w:hAnsi="Times New Roman"/>
          <w:sz w:val="21"/>
          <w:szCs w:val="21"/>
        </w:rPr>
      </w:pPr>
      <w:r w:rsidRPr="00A47A0C">
        <w:rPr>
          <w:rFonts w:ascii="Times New Roman" w:hAnsi="Times New Roman"/>
          <w:sz w:val="21"/>
          <w:szCs w:val="21"/>
        </w:rPr>
        <w:t>DELOITTE, S.L.</w:t>
      </w:r>
    </w:p>
    <w:p w:rsidR="00433B9B" w:rsidRPr="00A90644" w:rsidRDefault="00433B9B" w:rsidP="00433B9B">
      <w:pPr>
        <w:tabs>
          <w:tab w:val="left" w:pos="1134"/>
          <w:tab w:val="center" w:pos="6521"/>
        </w:tabs>
        <w:spacing w:after="1200"/>
        <w:jc w:val="both"/>
        <w:rPr>
          <w:rFonts w:ascii="Times New Roman" w:hAnsi="Times New Roman"/>
          <w:sz w:val="21"/>
          <w:szCs w:val="21"/>
        </w:rPr>
      </w:pPr>
      <w:r w:rsidRPr="00A90644">
        <w:rPr>
          <w:rFonts w:ascii="Times New Roman" w:hAnsi="Times New Roman"/>
          <w:sz w:val="21"/>
          <w:szCs w:val="21"/>
        </w:rPr>
        <w:t>Inscrita en el R.O.A.C. Nº S0692</w:t>
      </w:r>
    </w:p>
    <w:p w:rsidR="00433B9B" w:rsidRPr="00A90644" w:rsidRDefault="00855C93" w:rsidP="00A30A33">
      <w:pPr>
        <w:tabs>
          <w:tab w:val="left" w:pos="1134"/>
          <w:tab w:val="center" w:pos="6521"/>
        </w:tabs>
        <w:spacing w:after="120"/>
        <w:jc w:val="both"/>
        <w:rPr>
          <w:rFonts w:ascii="Times New Roman" w:hAnsi="Times New Roman"/>
          <w:sz w:val="21"/>
          <w:szCs w:val="21"/>
        </w:rPr>
      </w:pPr>
      <w:r w:rsidRPr="00A90644">
        <w:rPr>
          <w:rFonts w:ascii="Times New Roman" w:hAnsi="Times New Roman"/>
          <w:sz w:val="21"/>
          <w:szCs w:val="21"/>
        </w:rPr>
        <w:t>Luis de la Mora</w:t>
      </w:r>
    </w:p>
    <w:p w:rsidR="00433B9B" w:rsidRPr="00A47A0C" w:rsidRDefault="00A90644" w:rsidP="00433B9B">
      <w:pPr>
        <w:tabs>
          <w:tab w:val="left" w:pos="1134"/>
          <w:tab w:val="center" w:pos="6521"/>
        </w:tabs>
        <w:jc w:val="both"/>
        <w:rPr>
          <w:rFonts w:ascii="Times New Roman" w:hAnsi="Times New Roman"/>
          <w:sz w:val="21"/>
          <w:szCs w:val="21"/>
        </w:rPr>
      </w:pPr>
      <w:r w:rsidRPr="00A90644">
        <w:rPr>
          <w:rFonts w:ascii="Times New Roman" w:hAnsi="Times New Roman"/>
          <w:sz w:val="21"/>
          <w:szCs w:val="21"/>
        </w:rPr>
        <w:t>29</w:t>
      </w:r>
      <w:r w:rsidR="00855C93" w:rsidRPr="00A90644">
        <w:rPr>
          <w:rFonts w:ascii="Times New Roman" w:hAnsi="Times New Roman"/>
          <w:sz w:val="21"/>
          <w:szCs w:val="21"/>
        </w:rPr>
        <w:t xml:space="preserve"> de abril</w:t>
      </w:r>
      <w:r w:rsidR="005F4182" w:rsidRPr="00A90644">
        <w:rPr>
          <w:rFonts w:ascii="Times New Roman" w:hAnsi="Times New Roman"/>
          <w:sz w:val="21"/>
          <w:szCs w:val="21"/>
        </w:rPr>
        <w:t xml:space="preserve"> de 2016</w:t>
      </w:r>
    </w:p>
    <w:sectPr w:rsidR="00433B9B" w:rsidRPr="00A47A0C" w:rsidSect="00A30A33">
      <w:footerReference w:type="default" r:id="rId11"/>
      <w:pgSz w:w="11913" w:h="16834" w:code="9"/>
      <w:pgMar w:top="2268" w:right="1418" w:bottom="1418" w:left="1418"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CA7" w:rsidRDefault="006A1CA7">
      <w:r>
        <w:separator/>
      </w:r>
    </w:p>
  </w:endnote>
  <w:endnote w:type="continuationSeparator" w:id="0">
    <w:p w:rsidR="006A1CA7" w:rsidRDefault="006A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Default="00A459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227F" w:rsidRDefault="00120E4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Pr="005E4AA8" w:rsidRDefault="00A45985">
    <w:pPr>
      <w:pStyle w:val="Piedepgina"/>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120E4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7F" w:rsidRPr="00414852" w:rsidRDefault="00A45985">
    <w:pPr>
      <w:pStyle w:val="Piedepgina"/>
      <w:jc w:val="right"/>
      <w:rPr>
        <w:rFonts w:ascii="Times New Roman" w:hAnsi="Times New Roman"/>
        <w:sz w:val="21"/>
        <w:szCs w:val="21"/>
      </w:rPr>
    </w:pPr>
    <w:r w:rsidRPr="00414852">
      <w:rPr>
        <w:rStyle w:val="Nmerodepgina"/>
        <w:rFonts w:ascii="Times New Roman" w:hAnsi="Times New Roman"/>
        <w:sz w:val="21"/>
        <w:szCs w:val="21"/>
      </w:rPr>
      <w:fldChar w:fldCharType="begin"/>
    </w:r>
    <w:r w:rsidRPr="00414852">
      <w:rPr>
        <w:rStyle w:val="Nmerodepgina"/>
        <w:rFonts w:ascii="Times New Roman" w:hAnsi="Times New Roman"/>
        <w:sz w:val="21"/>
        <w:szCs w:val="21"/>
      </w:rPr>
      <w:instrText xml:space="preserve"> PAGE </w:instrText>
    </w:r>
    <w:r w:rsidRPr="00414852">
      <w:rPr>
        <w:rStyle w:val="Nmerodepgina"/>
        <w:rFonts w:ascii="Times New Roman" w:hAnsi="Times New Roman"/>
        <w:sz w:val="21"/>
        <w:szCs w:val="21"/>
      </w:rPr>
      <w:fldChar w:fldCharType="separate"/>
    </w:r>
    <w:r w:rsidR="00120E4A">
      <w:rPr>
        <w:rStyle w:val="Nmerodepgina"/>
        <w:rFonts w:ascii="Times New Roman" w:hAnsi="Times New Roman"/>
        <w:noProof/>
        <w:sz w:val="21"/>
        <w:szCs w:val="21"/>
      </w:rPr>
      <w:t>2</w:t>
    </w:r>
    <w:r w:rsidRPr="00414852">
      <w:rPr>
        <w:rStyle w:val="Nmerodepgina"/>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CA7" w:rsidRDefault="006A1CA7">
      <w:r>
        <w:separator/>
      </w:r>
    </w:p>
  </w:footnote>
  <w:footnote w:type="continuationSeparator" w:id="0">
    <w:p w:rsidR="006A1CA7" w:rsidRDefault="006A1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F"/>
    <w:rsid w:val="000E6F3B"/>
    <w:rsid w:val="00103273"/>
    <w:rsid w:val="00120E4A"/>
    <w:rsid w:val="001F16A6"/>
    <w:rsid w:val="002008D7"/>
    <w:rsid w:val="002401F1"/>
    <w:rsid w:val="00386E83"/>
    <w:rsid w:val="00414852"/>
    <w:rsid w:val="00433B9B"/>
    <w:rsid w:val="005256C2"/>
    <w:rsid w:val="00542EDF"/>
    <w:rsid w:val="005F4182"/>
    <w:rsid w:val="006A1CA7"/>
    <w:rsid w:val="00855C93"/>
    <w:rsid w:val="00877AB6"/>
    <w:rsid w:val="0088315E"/>
    <w:rsid w:val="00894E1D"/>
    <w:rsid w:val="008E4638"/>
    <w:rsid w:val="00904803"/>
    <w:rsid w:val="00A30A33"/>
    <w:rsid w:val="00A45985"/>
    <w:rsid w:val="00A61EB0"/>
    <w:rsid w:val="00A90644"/>
    <w:rsid w:val="00AE674A"/>
    <w:rsid w:val="00B55756"/>
    <w:rsid w:val="00B606E9"/>
    <w:rsid w:val="00CA154F"/>
    <w:rsid w:val="00D421CF"/>
    <w:rsid w:val="00EE3AA1"/>
    <w:rsid w:val="00F52A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24473</EngagementID>
  <LogicalEMSServerID>8046625255170022453</LogicalEMSServerID>
  <WorkingPaperID>2085541517700000009</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0BBE4-F9A5-4D5F-AEA8-21F88738B1DB}">
  <ds:schemaRefs>
    <ds:schemaRef ds:uri="http://schemas.microsoft.com/DAEMSEngagementItemInfoXML"/>
  </ds:schemaRefs>
</ds:datastoreItem>
</file>

<file path=customXml/itemProps2.xml><?xml version="1.0" encoding="utf-8"?>
<ds:datastoreItem xmlns:ds="http://schemas.openxmlformats.org/officeDocument/2006/customXml" ds:itemID="{3A803B35-6B39-440E-894C-4AE5C3B5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3444</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Rio Moran (Open)</dc:creator>
  <cp:lastModifiedBy>ONCE</cp:lastModifiedBy>
  <cp:revision>2</cp:revision>
  <dcterms:created xsi:type="dcterms:W3CDTF">2016-07-06T12:14:00Z</dcterms:created>
  <dcterms:modified xsi:type="dcterms:W3CDTF">2016-07-06T12:14:00Z</dcterms:modified>
</cp:coreProperties>
</file>