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43" w:rsidRDefault="00781843" w:rsidP="00C137A6">
      <w:pPr>
        <w:keepLines/>
        <w:autoSpaceDE w:val="0"/>
        <w:autoSpaceDN w:val="0"/>
        <w:adjustRightInd w:val="0"/>
        <w:spacing w:after="240" w:line="240" w:lineRule="atLeast"/>
        <w:rPr>
          <w:sz w:val="22"/>
          <w:szCs w:val="22"/>
          <w:u w:val="single"/>
          <w:lang w:val="es-ES_tradnl"/>
        </w:rPr>
      </w:pPr>
    </w:p>
    <w:p w:rsidR="00781843" w:rsidRDefault="00781843" w:rsidP="00781843">
      <w:pPr>
        <w:keepLines/>
        <w:autoSpaceDE w:val="0"/>
        <w:autoSpaceDN w:val="0"/>
        <w:adjustRightInd w:val="0"/>
        <w:spacing w:line="240" w:lineRule="atLeast"/>
        <w:rPr>
          <w:sz w:val="22"/>
          <w:szCs w:val="22"/>
          <w:u w:val="single"/>
          <w:lang w:val="es-ES_tradnl"/>
        </w:rPr>
      </w:pPr>
    </w:p>
    <w:p w:rsidR="00985B07" w:rsidRPr="00781843" w:rsidRDefault="00985B07" w:rsidP="00C137A6">
      <w:pPr>
        <w:keepLines/>
        <w:autoSpaceDE w:val="0"/>
        <w:autoSpaceDN w:val="0"/>
        <w:adjustRightInd w:val="0"/>
        <w:spacing w:after="240" w:line="240" w:lineRule="atLeast"/>
        <w:rPr>
          <w:sz w:val="21"/>
          <w:szCs w:val="21"/>
          <w:u w:val="single"/>
          <w:lang w:val="es-ES_tradnl"/>
        </w:rPr>
      </w:pPr>
      <w:r w:rsidRPr="00781843">
        <w:rPr>
          <w:sz w:val="21"/>
          <w:szCs w:val="21"/>
          <w:u w:val="single"/>
          <w:lang w:val="es-ES_tradnl"/>
        </w:rPr>
        <w:t>INFORME ESPECIAL DE PROCEDIMIENTOS ACORDADOS</w:t>
      </w:r>
    </w:p>
    <w:p w:rsidR="00003DC0" w:rsidRPr="00781843" w:rsidRDefault="00003DC0" w:rsidP="00C137A6">
      <w:pPr>
        <w:pStyle w:val="CartaDos"/>
        <w:keepLines/>
        <w:spacing w:after="240"/>
        <w:rPr>
          <w:noProof w:val="0"/>
          <w:sz w:val="21"/>
          <w:szCs w:val="21"/>
        </w:rPr>
      </w:pPr>
      <w:r w:rsidRPr="00781843">
        <w:rPr>
          <w:noProof w:val="0"/>
          <w:sz w:val="21"/>
          <w:szCs w:val="21"/>
        </w:rPr>
        <w:t>Al Patronato de</w:t>
      </w:r>
      <w:r w:rsidRPr="00781843">
        <w:rPr>
          <w:noProof w:val="0"/>
          <w:sz w:val="21"/>
          <w:szCs w:val="21"/>
        </w:rPr>
        <w:br/>
        <w:t>Fundación ONCE para la Cooperac</w:t>
      </w:r>
      <w:bookmarkStart w:id="0" w:name="_GoBack"/>
      <w:bookmarkEnd w:id="0"/>
      <w:r w:rsidRPr="00781843">
        <w:rPr>
          <w:noProof w:val="0"/>
          <w:sz w:val="21"/>
          <w:szCs w:val="21"/>
        </w:rPr>
        <w:t>ión e Inclusión Social de Personas con Discapacidad:</w:t>
      </w:r>
    </w:p>
    <w:p w:rsidR="00DF79A2" w:rsidRPr="00781843" w:rsidRDefault="00985B07" w:rsidP="00C137A6">
      <w:pPr>
        <w:pStyle w:val="Carta"/>
        <w:keepLines/>
        <w:rPr>
          <w:sz w:val="21"/>
          <w:szCs w:val="21"/>
        </w:rPr>
      </w:pPr>
      <w:r w:rsidRPr="00781843">
        <w:rPr>
          <w:sz w:val="21"/>
          <w:szCs w:val="21"/>
          <w:lang w:val="es-ES_tradnl"/>
        </w:rPr>
        <w:t xml:space="preserve">De acuerdo con nuestra carta propuesta de fecha </w:t>
      </w:r>
      <w:r w:rsidR="00BF3A36" w:rsidRPr="00781843">
        <w:rPr>
          <w:sz w:val="21"/>
          <w:szCs w:val="21"/>
          <w:lang w:val="es-ES_tradnl"/>
        </w:rPr>
        <w:t>12</w:t>
      </w:r>
      <w:r w:rsidRPr="00781843">
        <w:rPr>
          <w:sz w:val="21"/>
          <w:szCs w:val="21"/>
          <w:lang w:val="es-ES_tradnl"/>
        </w:rPr>
        <w:t xml:space="preserve"> de </w:t>
      </w:r>
      <w:r w:rsidR="00BF3A36" w:rsidRPr="00781843">
        <w:rPr>
          <w:sz w:val="21"/>
          <w:szCs w:val="21"/>
          <w:lang w:val="es-ES_tradnl"/>
        </w:rPr>
        <w:t>marzo</w:t>
      </w:r>
      <w:r w:rsidRPr="00781843">
        <w:rPr>
          <w:sz w:val="21"/>
          <w:szCs w:val="21"/>
          <w:lang w:val="es-ES_tradnl"/>
        </w:rPr>
        <w:t xml:space="preserve"> de </w:t>
      </w:r>
      <w:r w:rsidR="00C76DD9" w:rsidRPr="00781843">
        <w:rPr>
          <w:sz w:val="21"/>
          <w:szCs w:val="21"/>
          <w:lang w:val="es-ES_tradnl"/>
        </w:rPr>
        <w:t>2014</w:t>
      </w:r>
      <w:r w:rsidRPr="00781843">
        <w:rPr>
          <w:sz w:val="21"/>
          <w:szCs w:val="21"/>
          <w:lang w:val="es-ES_tradnl"/>
        </w:rPr>
        <w:t xml:space="preserve"> hemos realizado los procedimientos acordados con Ustedes relacionados a continuación, sobre </w:t>
      </w:r>
      <w:r w:rsidR="00C75942" w:rsidRPr="00781843">
        <w:rPr>
          <w:sz w:val="21"/>
          <w:szCs w:val="21"/>
        </w:rPr>
        <w:t>los documentos de presentación de la asignación de recursos de Fundación ONCE para la Cooperación e Inclusión Social de Personas con Discapacidad (en adelante, “Fundación ONCE”) al 31 de diciembre de 201</w:t>
      </w:r>
      <w:r w:rsidR="00075888" w:rsidRPr="00781843">
        <w:rPr>
          <w:sz w:val="21"/>
          <w:szCs w:val="21"/>
        </w:rPr>
        <w:t>3</w:t>
      </w:r>
      <w:r w:rsidR="00C75942" w:rsidRPr="00781843">
        <w:rPr>
          <w:sz w:val="21"/>
          <w:szCs w:val="21"/>
        </w:rPr>
        <w:t xml:space="preserve">, cuya preparación es responsabilidad de la Dirección de la </w:t>
      </w:r>
      <w:r w:rsidR="00DF79A2" w:rsidRPr="00781843">
        <w:rPr>
          <w:sz w:val="21"/>
          <w:szCs w:val="21"/>
        </w:rPr>
        <w:t>Fundación ONCE y enmarcados en:</w:t>
      </w:r>
    </w:p>
    <w:p w:rsidR="00DF79A2" w:rsidRPr="00781843" w:rsidRDefault="00DF79A2" w:rsidP="00C137A6">
      <w:pPr>
        <w:pStyle w:val="ListUnoCarta"/>
        <w:keepLines/>
        <w:jc w:val="both"/>
        <w:rPr>
          <w:sz w:val="21"/>
          <w:szCs w:val="21"/>
          <w:lang w:eastAsia="es-ES"/>
        </w:rPr>
      </w:pPr>
      <w:r w:rsidRPr="00781843">
        <w:rPr>
          <w:sz w:val="21"/>
          <w:szCs w:val="21"/>
          <w:lang w:eastAsia="es-ES"/>
        </w:rPr>
        <w:t>-</w:t>
      </w:r>
      <w:r w:rsidRPr="00781843">
        <w:rPr>
          <w:sz w:val="21"/>
          <w:szCs w:val="21"/>
          <w:lang w:eastAsia="es-ES"/>
        </w:rPr>
        <w:tab/>
      </w:r>
      <w:r w:rsidR="00EC6440" w:rsidRPr="00781843">
        <w:rPr>
          <w:sz w:val="21"/>
          <w:szCs w:val="21"/>
          <w:lang w:eastAsia="es-ES"/>
        </w:rPr>
        <w:t>Las cláusulas 6ª y 8</w:t>
      </w:r>
      <w:r w:rsidRPr="00781843">
        <w:rPr>
          <w:sz w:val="21"/>
          <w:szCs w:val="21"/>
          <w:lang w:eastAsia="es-ES"/>
        </w:rPr>
        <w:t xml:space="preserve">ª del Acuerdo General entre el Gobierno de la Nación y la Organización Nacional de Ciegos Españoles (ONCE) en materia de cooperación, solidaridad </w:t>
      </w:r>
      <w:r w:rsidR="00881968" w:rsidRPr="00781843">
        <w:rPr>
          <w:sz w:val="21"/>
          <w:szCs w:val="21"/>
          <w:lang w:eastAsia="es-ES"/>
        </w:rPr>
        <w:t xml:space="preserve">y competitividad </w:t>
      </w:r>
      <w:r w:rsidRPr="00781843">
        <w:rPr>
          <w:sz w:val="21"/>
          <w:szCs w:val="21"/>
          <w:lang w:eastAsia="es-ES"/>
        </w:rPr>
        <w:t>para la estabilidad de futuro de la ONCE para el período 2012</w:t>
      </w:r>
      <w:r w:rsidR="00C137A6" w:rsidRPr="00781843">
        <w:rPr>
          <w:sz w:val="21"/>
          <w:szCs w:val="21"/>
          <w:lang w:eastAsia="es-ES"/>
        </w:rPr>
        <w:t xml:space="preserve"> – </w:t>
      </w:r>
      <w:r w:rsidRPr="00781843">
        <w:rPr>
          <w:sz w:val="21"/>
          <w:szCs w:val="21"/>
          <w:lang w:eastAsia="es-ES"/>
        </w:rPr>
        <w:t xml:space="preserve">2021 aprobado por el Consejo de Ministros </w:t>
      </w:r>
      <w:r w:rsidR="00454A9E" w:rsidRPr="00781843">
        <w:rPr>
          <w:sz w:val="21"/>
          <w:szCs w:val="21"/>
          <w:lang w:eastAsia="es-ES"/>
        </w:rPr>
        <w:t>d</w:t>
      </w:r>
      <w:r w:rsidR="002755DF" w:rsidRPr="00781843">
        <w:rPr>
          <w:sz w:val="21"/>
          <w:szCs w:val="21"/>
          <w:lang w:eastAsia="es-ES"/>
        </w:rPr>
        <w:t>el día 18 de noviembre de 2011.</w:t>
      </w:r>
    </w:p>
    <w:p w:rsidR="00DF79A2" w:rsidRPr="00781843" w:rsidRDefault="00DF79A2" w:rsidP="00C137A6">
      <w:pPr>
        <w:pStyle w:val="ListUnoCarta"/>
        <w:keepLines/>
        <w:jc w:val="both"/>
        <w:rPr>
          <w:sz w:val="21"/>
          <w:szCs w:val="21"/>
          <w:lang w:eastAsia="es-ES"/>
        </w:rPr>
      </w:pPr>
      <w:r w:rsidRPr="00781843">
        <w:rPr>
          <w:sz w:val="21"/>
          <w:szCs w:val="21"/>
          <w:lang w:eastAsia="es-ES"/>
        </w:rPr>
        <w:t>-</w:t>
      </w:r>
      <w:r w:rsidRPr="00781843">
        <w:rPr>
          <w:sz w:val="21"/>
          <w:szCs w:val="21"/>
          <w:lang w:eastAsia="es-ES"/>
        </w:rPr>
        <w:tab/>
        <w:t>EI acuerdo del Consejo del Protectorado de</w:t>
      </w:r>
      <w:r w:rsidR="002755DF" w:rsidRPr="00781843">
        <w:rPr>
          <w:sz w:val="21"/>
          <w:szCs w:val="21"/>
          <w:lang w:eastAsia="es-ES"/>
        </w:rPr>
        <w:t xml:space="preserve"> la ONCE de 29 de junio de 2005.</w:t>
      </w:r>
    </w:p>
    <w:p w:rsidR="00DF79A2" w:rsidRPr="00781843" w:rsidRDefault="00C75942" w:rsidP="00C137A6">
      <w:pPr>
        <w:pStyle w:val="Carta"/>
        <w:keepLines/>
        <w:rPr>
          <w:sz w:val="21"/>
          <w:szCs w:val="21"/>
          <w:lang w:eastAsia="es-ES"/>
        </w:rPr>
      </w:pPr>
      <w:r w:rsidRPr="00781843">
        <w:rPr>
          <w:sz w:val="21"/>
          <w:szCs w:val="21"/>
          <w:lang w:eastAsia="es-ES"/>
        </w:rPr>
        <w:t>Estos documentos se estructuran de la siguiente forma:</w:t>
      </w:r>
    </w:p>
    <w:p w:rsidR="00DF79A2" w:rsidRPr="00781843" w:rsidRDefault="00DF79A2" w:rsidP="00C137A6">
      <w:pPr>
        <w:pStyle w:val="ListUnoCarta"/>
        <w:keepLines/>
        <w:jc w:val="both"/>
        <w:rPr>
          <w:sz w:val="21"/>
          <w:szCs w:val="21"/>
          <w:lang w:eastAsia="es-ES"/>
        </w:rPr>
      </w:pPr>
      <w:r w:rsidRPr="00781843">
        <w:rPr>
          <w:sz w:val="21"/>
          <w:szCs w:val="21"/>
          <w:lang w:eastAsia="es-ES"/>
        </w:rPr>
        <w:t xml:space="preserve">a) </w:t>
      </w:r>
      <w:r w:rsidR="00454A9E" w:rsidRPr="00781843">
        <w:rPr>
          <w:sz w:val="21"/>
          <w:szCs w:val="21"/>
          <w:lang w:eastAsia="es-ES"/>
        </w:rPr>
        <w:tab/>
      </w:r>
      <w:r w:rsidRPr="00781843">
        <w:rPr>
          <w:sz w:val="21"/>
          <w:szCs w:val="21"/>
          <w:lang w:eastAsia="es-ES"/>
        </w:rPr>
        <w:t>En el Anexo I, aprobado por el Vicepresidente Primero Ejecutivo d</w:t>
      </w:r>
      <w:r w:rsidRPr="00781843">
        <w:rPr>
          <w:color w:val="3A4041"/>
          <w:sz w:val="21"/>
          <w:szCs w:val="21"/>
          <w:lang w:eastAsia="es-ES"/>
        </w:rPr>
        <w:t xml:space="preserve">e </w:t>
      </w:r>
      <w:r w:rsidRPr="00781843">
        <w:rPr>
          <w:sz w:val="21"/>
          <w:szCs w:val="21"/>
          <w:lang w:eastAsia="es-ES"/>
        </w:rPr>
        <w:t>la Fundación ONCE, se inclu</w:t>
      </w:r>
      <w:r w:rsidR="00881968" w:rsidRPr="00781843">
        <w:rPr>
          <w:sz w:val="21"/>
          <w:szCs w:val="21"/>
          <w:lang w:eastAsia="es-ES"/>
        </w:rPr>
        <w:t>yen</w:t>
      </w:r>
      <w:r w:rsidRPr="00781843">
        <w:rPr>
          <w:sz w:val="21"/>
          <w:szCs w:val="21"/>
          <w:lang w:eastAsia="es-ES"/>
        </w:rPr>
        <w:t xml:space="preserve"> la asignació</w:t>
      </w:r>
      <w:r w:rsidR="00075888" w:rsidRPr="00781843">
        <w:rPr>
          <w:sz w:val="21"/>
          <w:szCs w:val="21"/>
          <w:lang w:eastAsia="es-ES"/>
        </w:rPr>
        <w:t>n de recursos del ejercicio 2013</w:t>
      </w:r>
      <w:r w:rsidRPr="00781843">
        <w:rPr>
          <w:sz w:val="21"/>
          <w:szCs w:val="21"/>
          <w:lang w:eastAsia="es-ES"/>
        </w:rPr>
        <w:t xml:space="preserve"> y el desglose de los recursos económicos aplicados al Plan 15.000</w:t>
      </w:r>
      <w:r w:rsidR="00C137A6" w:rsidRPr="00781843">
        <w:rPr>
          <w:sz w:val="21"/>
          <w:szCs w:val="21"/>
          <w:lang w:eastAsia="es-ES"/>
        </w:rPr>
        <w:t xml:space="preserve"> – </w:t>
      </w:r>
      <w:r w:rsidRPr="00781843">
        <w:rPr>
          <w:sz w:val="21"/>
          <w:szCs w:val="21"/>
          <w:lang w:eastAsia="es-ES"/>
        </w:rPr>
        <w:t>30.000.</w:t>
      </w:r>
    </w:p>
    <w:p w:rsidR="00C75942" w:rsidRPr="00781843" w:rsidRDefault="00DF79A2" w:rsidP="00C137A6">
      <w:pPr>
        <w:pStyle w:val="ListUnoCarta"/>
        <w:keepLines/>
        <w:jc w:val="both"/>
        <w:rPr>
          <w:sz w:val="21"/>
          <w:szCs w:val="21"/>
          <w:lang w:eastAsia="es-ES"/>
        </w:rPr>
      </w:pPr>
      <w:r w:rsidRPr="00781843">
        <w:rPr>
          <w:sz w:val="21"/>
          <w:szCs w:val="21"/>
          <w:lang w:eastAsia="es-ES"/>
        </w:rPr>
        <w:t>b) En el Anexo II se inclu</w:t>
      </w:r>
      <w:r w:rsidR="00881968" w:rsidRPr="00781843">
        <w:rPr>
          <w:sz w:val="21"/>
          <w:szCs w:val="21"/>
          <w:lang w:eastAsia="es-ES"/>
        </w:rPr>
        <w:t xml:space="preserve">yen </w:t>
      </w:r>
      <w:r w:rsidRPr="00781843">
        <w:rPr>
          <w:sz w:val="21"/>
          <w:szCs w:val="21"/>
          <w:lang w:eastAsia="es-ES"/>
        </w:rPr>
        <w:t>las bases de presentación y los criterios empleados en la preparaci</w:t>
      </w:r>
      <w:r w:rsidR="00881968" w:rsidRPr="00781843">
        <w:rPr>
          <w:sz w:val="21"/>
          <w:szCs w:val="21"/>
          <w:lang w:eastAsia="es-ES"/>
        </w:rPr>
        <w:t>ó</w:t>
      </w:r>
      <w:r w:rsidRPr="00781843">
        <w:rPr>
          <w:sz w:val="21"/>
          <w:szCs w:val="21"/>
          <w:lang w:eastAsia="es-ES"/>
        </w:rPr>
        <w:t>n del Anexo I.</w:t>
      </w:r>
    </w:p>
    <w:p w:rsidR="00DF79A2" w:rsidRPr="00781843" w:rsidRDefault="00DF79A2" w:rsidP="00C137A6">
      <w:pPr>
        <w:pStyle w:val="Carta"/>
        <w:keepLines/>
        <w:rPr>
          <w:sz w:val="21"/>
          <w:szCs w:val="21"/>
          <w:lang w:eastAsia="es-ES"/>
        </w:rPr>
      </w:pPr>
      <w:r w:rsidRPr="00781843">
        <w:rPr>
          <w:sz w:val="21"/>
          <w:szCs w:val="21"/>
          <w:lang w:eastAsia="es-ES"/>
        </w:rPr>
        <w:t xml:space="preserve">Conforme a lo anterior, los procedimientos </w:t>
      </w:r>
      <w:r w:rsidR="00454A9E" w:rsidRPr="00781843">
        <w:rPr>
          <w:sz w:val="21"/>
          <w:szCs w:val="21"/>
          <w:lang w:eastAsia="es-ES"/>
        </w:rPr>
        <w:t>aplicados han sido</w:t>
      </w:r>
      <w:r w:rsidRPr="00781843">
        <w:rPr>
          <w:sz w:val="21"/>
          <w:szCs w:val="21"/>
          <w:lang w:eastAsia="es-ES"/>
        </w:rPr>
        <w:t xml:space="preserve"> los siguientes:</w:t>
      </w:r>
    </w:p>
    <w:p w:rsidR="00DF79A2" w:rsidRPr="00781843" w:rsidRDefault="00454A9E" w:rsidP="00C137A6">
      <w:pPr>
        <w:pStyle w:val="ListUnoCarta"/>
        <w:keepLines/>
        <w:numPr>
          <w:ilvl w:val="0"/>
          <w:numId w:val="45"/>
        </w:numPr>
        <w:jc w:val="both"/>
        <w:rPr>
          <w:sz w:val="21"/>
          <w:szCs w:val="21"/>
          <w:lang w:eastAsia="es-ES"/>
        </w:rPr>
      </w:pPr>
      <w:r w:rsidRPr="00781843">
        <w:rPr>
          <w:sz w:val="21"/>
          <w:szCs w:val="21"/>
          <w:lang w:eastAsia="es-ES"/>
        </w:rPr>
        <w:t>Verificación de</w:t>
      </w:r>
      <w:r w:rsidR="00DF79A2" w:rsidRPr="00781843">
        <w:rPr>
          <w:sz w:val="21"/>
          <w:szCs w:val="21"/>
          <w:lang w:eastAsia="es-ES"/>
        </w:rPr>
        <w:t xml:space="preserve"> la aplicación de los criterios y bases de presentación de la asignación de recursos, contenidos en el Anexo II</w:t>
      </w:r>
      <w:r w:rsidR="00DF79A2" w:rsidRPr="00781843">
        <w:rPr>
          <w:b/>
          <w:bCs/>
          <w:sz w:val="21"/>
          <w:szCs w:val="21"/>
          <w:lang w:eastAsia="es-ES"/>
        </w:rPr>
        <w:t xml:space="preserve">, </w:t>
      </w:r>
      <w:r w:rsidR="00DF79A2" w:rsidRPr="00781843">
        <w:rPr>
          <w:sz w:val="21"/>
          <w:szCs w:val="21"/>
          <w:lang w:eastAsia="es-ES"/>
        </w:rPr>
        <w:t>en la preparación del cálculo sobre la asignación</w:t>
      </w:r>
      <w:r w:rsidR="00075888" w:rsidRPr="00781843">
        <w:rPr>
          <w:sz w:val="21"/>
          <w:szCs w:val="21"/>
          <w:lang w:eastAsia="es-ES"/>
        </w:rPr>
        <w:t xml:space="preserve"> de recursos del ejercicio 2013</w:t>
      </w:r>
      <w:r w:rsidR="00DF79A2" w:rsidRPr="00781843">
        <w:rPr>
          <w:sz w:val="21"/>
          <w:szCs w:val="21"/>
          <w:lang w:eastAsia="es-ES"/>
        </w:rPr>
        <w:t xml:space="preserve"> de la Fundación ONCE contenido en el Anexo I.</w:t>
      </w:r>
    </w:p>
    <w:p w:rsidR="00DF79A2" w:rsidRPr="00781843" w:rsidRDefault="00454A9E" w:rsidP="00C137A6">
      <w:pPr>
        <w:pStyle w:val="ListUnoCarta"/>
        <w:keepLines/>
        <w:numPr>
          <w:ilvl w:val="0"/>
          <w:numId w:val="45"/>
        </w:numPr>
        <w:jc w:val="both"/>
        <w:rPr>
          <w:sz w:val="21"/>
          <w:szCs w:val="21"/>
          <w:lang w:eastAsia="es-ES"/>
        </w:rPr>
      </w:pPr>
      <w:r w:rsidRPr="00781843">
        <w:rPr>
          <w:sz w:val="21"/>
          <w:szCs w:val="21"/>
          <w:lang w:eastAsia="es-ES"/>
        </w:rPr>
        <w:t>Comprobación de</w:t>
      </w:r>
      <w:r w:rsidR="00DF79A2" w:rsidRPr="00781843">
        <w:rPr>
          <w:sz w:val="21"/>
          <w:szCs w:val="21"/>
          <w:lang w:eastAsia="es-ES"/>
        </w:rPr>
        <w:t xml:space="preserve"> la corrección de los cálculos aritméticos del Anexo I.</w:t>
      </w:r>
    </w:p>
    <w:p w:rsidR="00DF79A2" w:rsidRPr="00781843" w:rsidRDefault="00454A9E" w:rsidP="00C137A6">
      <w:pPr>
        <w:pStyle w:val="ListUnoCarta"/>
        <w:keepLines/>
        <w:numPr>
          <w:ilvl w:val="0"/>
          <w:numId w:val="45"/>
        </w:numPr>
        <w:jc w:val="both"/>
        <w:rPr>
          <w:sz w:val="21"/>
          <w:szCs w:val="21"/>
          <w:lang w:eastAsia="es-ES"/>
        </w:rPr>
      </w:pPr>
      <w:r w:rsidRPr="00781843">
        <w:rPr>
          <w:sz w:val="21"/>
          <w:szCs w:val="21"/>
          <w:lang w:eastAsia="es-ES"/>
        </w:rPr>
        <w:t>Comprobación</w:t>
      </w:r>
      <w:r w:rsidR="00DF79A2" w:rsidRPr="00781843">
        <w:rPr>
          <w:sz w:val="21"/>
          <w:szCs w:val="21"/>
          <w:lang w:eastAsia="es-ES"/>
        </w:rPr>
        <w:t>, para la totalidad de los expedientes aprobados por el órgano colegiado competente de la Fundació</w:t>
      </w:r>
      <w:r w:rsidR="00075888" w:rsidRPr="00781843">
        <w:rPr>
          <w:sz w:val="21"/>
          <w:szCs w:val="21"/>
          <w:lang w:eastAsia="es-ES"/>
        </w:rPr>
        <w:t>n ONCE durante el ejercicio 2013</w:t>
      </w:r>
      <w:r w:rsidR="00DF79A2" w:rsidRPr="00781843">
        <w:rPr>
          <w:sz w:val="21"/>
          <w:szCs w:val="21"/>
          <w:lang w:eastAsia="es-ES"/>
        </w:rPr>
        <w:t>, su correcta asignación al Plan de Empleo y Formación o al Plan de Accesibilidad teniendo en cuenta de las principales características de cada expediente.</w:t>
      </w:r>
    </w:p>
    <w:p w:rsidR="00DF79A2" w:rsidRPr="00781843" w:rsidRDefault="00DF79A2" w:rsidP="00C137A6">
      <w:pPr>
        <w:pStyle w:val="ListUnoCarta"/>
        <w:keepLines/>
        <w:numPr>
          <w:ilvl w:val="0"/>
          <w:numId w:val="45"/>
        </w:numPr>
        <w:jc w:val="both"/>
        <w:rPr>
          <w:sz w:val="21"/>
          <w:szCs w:val="21"/>
          <w:lang w:eastAsia="es-ES"/>
        </w:rPr>
      </w:pPr>
      <w:r w:rsidRPr="00781843">
        <w:rPr>
          <w:sz w:val="21"/>
          <w:szCs w:val="21"/>
          <w:lang w:eastAsia="es-ES"/>
        </w:rPr>
        <w:t>Verifica</w:t>
      </w:r>
      <w:r w:rsidR="00454A9E" w:rsidRPr="00781843">
        <w:rPr>
          <w:sz w:val="21"/>
          <w:szCs w:val="21"/>
          <w:lang w:eastAsia="es-ES"/>
        </w:rPr>
        <w:t>ción de</w:t>
      </w:r>
      <w:r w:rsidRPr="00781843">
        <w:rPr>
          <w:sz w:val="21"/>
          <w:szCs w:val="21"/>
          <w:lang w:eastAsia="es-ES"/>
        </w:rPr>
        <w:t xml:space="preserve"> que la totalidad de los expedientes han sido tramitados y asignados por el Comit</w:t>
      </w:r>
      <w:r w:rsidR="00881968" w:rsidRPr="00781843">
        <w:rPr>
          <w:sz w:val="21"/>
          <w:szCs w:val="21"/>
          <w:lang w:eastAsia="es-ES"/>
        </w:rPr>
        <w:t>é</w:t>
      </w:r>
      <w:r w:rsidRPr="00781843">
        <w:rPr>
          <w:sz w:val="21"/>
          <w:szCs w:val="21"/>
          <w:lang w:eastAsia="es-ES"/>
        </w:rPr>
        <w:t xml:space="preserve"> de asignación de proyectos.</w:t>
      </w:r>
    </w:p>
    <w:p w:rsidR="00DF79A2" w:rsidRPr="00781843" w:rsidRDefault="00454A9E" w:rsidP="00C137A6">
      <w:pPr>
        <w:pStyle w:val="ListUnoCarta"/>
        <w:keepLines/>
        <w:numPr>
          <w:ilvl w:val="0"/>
          <w:numId w:val="45"/>
        </w:numPr>
        <w:jc w:val="both"/>
        <w:rPr>
          <w:sz w:val="21"/>
          <w:szCs w:val="21"/>
          <w:lang w:eastAsia="es-ES"/>
        </w:rPr>
      </w:pPr>
      <w:r w:rsidRPr="00781843">
        <w:rPr>
          <w:sz w:val="21"/>
          <w:szCs w:val="21"/>
          <w:lang w:eastAsia="es-ES"/>
        </w:rPr>
        <w:t>Comprobación de</w:t>
      </w:r>
      <w:r w:rsidR="00DF79A2" w:rsidRPr="00781843">
        <w:rPr>
          <w:sz w:val="21"/>
          <w:szCs w:val="21"/>
          <w:lang w:eastAsia="es-ES"/>
        </w:rPr>
        <w:t xml:space="preserve"> que, de acuerdo con la cláusula sexta del Acuerdo General</w:t>
      </w:r>
      <w:r w:rsidR="00DF79A2" w:rsidRPr="00781843">
        <w:rPr>
          <w:color w:val="717170"/>
          <w:sz w:val="21"/>
          <w:szCs w:val="21"/>
          <w:lang w:eastAsia="es-ES"/>
        </w:rPr>
        <w:t xml:space="preserve"> </w:t>
      </w:r>
      <w:r w:rsidR="00DF79A2" w:rsidRPr="00781843">
        <w:rPr>
          <w:sz w:val="21"/>
          <w:szCs w:val="21"/>
          <w:lang w:eastAsia="es-ES"/>
        </w:rPr>
        <w:t>entre el Gobierno de la Nación y la Organización Nacional de Ciegos Espa</w:t>
      </w:r>
      <w:r w:rsidR="00C137A6" w:rsidRPr="00781843">
        <w:rPr>
          <w:sz w:val="21"/>
          <w:szCs w:val="21"/>
          <w:lang w:eastAsia="es-ES"/>
        </w:rPr>
        <w:t>ñ</w:t>
      </w:r>
      <w:r w:rsidR="00DF79A2" w:rsidRPr="00781843">
        <w:rPr>
          <w:sz w:val="21"/>
          <w:szCs w:val="21"/>
          <w:lang w:eastAsia="es-ES"/>
        </w:rPr>
        <w:t>oles (ONCE) en materia de cooperación, solidaridad y competitividad para la estabilidad de futuro de la ONCE para el período</w:t>
      </w:r>
      <w:r w:rsidR="00DF79A2" w:rsidRPr="00781843">
        <w:rPr>
          <w:color w:val="3C4243"/>
          <w:sz w:val="21"/>
          <w:szCs w:val="21"/>
          <w:lang w:eastAsia="es-ES"/>
        </w:rPr>
        <w:t xml:space="preserve"> </w:t>
      </w:r>
      <w:r w:rsidR="00C137A6" w:rsidRPr="00781843">
        <w:rPr>
          <w:sz w:val="21"/>
          <w:szCs w:val="21"/>
          <w:lang w:eastAsia="es-ES"/>
        </w:rPr>
        <w:t xml:space="preserve">2012 – </w:t>
      </w:r>
      <w:r w:rsidR="00DF79A2" w:rsidRPr="00781843">
        <w:rPr>
          <w:sz w:val="21"/>
          <w:szCs w:val="21"/>
          <w:lang w:eastAsia="es-ES"/>
        </w:rPr>
        <w:t>2021, la cifra que figura en el Anexo I destinada al plan de empleo y formación, se corresponde con la totalidad de los expedientes examinados y clasificados bajo el plan de empleo y formación ajustados por determinados conceptos, según se explica en el Anexo II</w:t>
      </w:r>
      <w:r w:rsidR="00DF79A2" w:rsidRPr="00781843">
        <w:rPr>
          <w:b/>
          <w:bCs/>
          <w:sz w:val="21"/>
          <w:szCs w:val="21"/>
          <w:lang w:eastAsia="es-ES"/>
        </w:rPr>
        <w:t xml:space="preserve">, </w:t>
      </w:r>
      <w:r w:rsidRPr="00781843">
        <w:rPr>
          <w:sz w:val="21"/>
          <w:szCs w:val="21"/>
          <w:lang w:eastAsia="es-ES"/>
        </w:rPr>
        <w:t>y verificación de</w:t>
      </w:r>
      <w:r w:rsidR="00DF79A2" w:rsidRPr="00781843">
        <w:rPr>
          <w:sz w:val="21"/>
          <w:szCs w:val="21"/>
          <w:lang w:eastAsia="es-ES"/>
        </w:rPr>
        <w:t xml:space="preserve"> que la clasificación de los recursos aplicados a las diferentes líneas del plan 15.000-30.000 es adecuada conforme a las bases de presentación incluidas en el Anexo II.</w:t>
      </w:r>
    </w:p>
    <w:p w:rsidR="00DF79A2" w:rsidRPr="00781843" w:rsidRDefault="00624351" w:rsidP="00C137A6">
      <w:pPr>
        <w:pStyle w:val="ListUnoCarta"/>
        <w:keepLines/>
        <w:numPr>
          <w:ilvl w:val="0"/>
          <w:numId w:val="45"/>
        </w:numPr>
        <w:jc w:val="both"/>
        <w:rPr>
          <w:sz w:val="21"/>
          <w:szCs w:val="21"/>
          <w:lang w:eastAsia="es-ES"/>
        </w:rPr>
      </w:pPr>
      <w:r w:rsidRPr="00781843">
        <w:rPr>
          <w:sz w:val="21"/>
          <w:szCs w:val="21"/>
          <w:lang w:eastAsia="es-ES"/>
        </w:rPr>
        <w:lastRenderedPageBreak/>
        <w:t>Comprobación</w:t>
      </w:r>
      <w:r w:rsidR="00DF79A2" w:rsidRPr="00781843">
        <w:rPr>
          <w:sz w:val="21"/>
          <w:szCs w:val="21"/>
          <w:lang w:eastAsia="es-ES"/>
        </w:rPr>
        <w:t>, de acuerdo con la cláusula octava apartado segundo del Acuerdo General entre el Gobierno de la Nación y la Organización Nacional de Ciegos Espa</w:t>
      </w:r>
      <w:r w:rsidR="00881968" w:rsidRPr="00781843">
        <w:rPr>
          <w:sz w:val="21"/>
          <w:szCs w:val="21"/>
          <w:lang w:eastAsia="es-ES"/>
        </w:rPr>
        <w:t>ñ</w:t>
      </w:r>
      <w:r w:rsidR="00DF79A2" w:rsidRPr="00781843">
        <w:rPr>
          <w:sz w:val="21"/>
          <w:szCs w:val="21"/>
          <w:lang w:eastAsia="es-ES"/>
        </w:rPr>
        <w:t xml:space="preserve">oles </w:t>
      </w:r>
      <w:r w:rsidR="00DF79A2" w:rsidRPr="00781843">
        <w:rPr>
          <w:color w:val="3C4243"/>
          <w:sz w:val="21"/>
          <w:szCs w:val="21"/>
          <w:lang w:eastAsia="es-ES"/>
        </w:rPr>
        <w:t xml:space="preserve">(ONCE) </w:t>
      </w:r>
      <w:r w:rsidR="00DF79A2" w:rsidRPr="00781843">
        <w:rPr>
          <w:sz w:val="21"/>
          <w:szCs w:val="21"/>
          <w:lang w:eastAsia="es-ES"/>
        </w:rPr>
        <w:t>en materia de cooperación, solidaridad y competitividad para la estabilidad d</w:t>
      </w:r>
      <w:r w:rsidR="00C137A6" w:rsidRPr="00781843">
        <w:rPr>
          <w:sz w:val="21"/>
          <w:szCs w:val="21"/>
          <w:lang w:eastAsia="es-ES"/>
        </w:rPr>
        <w:t>e futuro de la ONCE para el perí</w:t>
      </w:r>
      <w:r w:rsidR="00DF79A2" w:rsidRPr="00781843">
        <w:rPr>
          <w:sz w:val="21"/>
          <w:szCs w:val="21"/>
          <w:lang w:eastAsia="es-ES"/>
        </w:rPr>
        <w:t xml:space="preserve">odo </w:t>
      </w:r>
      <w:r w:rsidR="00CE4418" w:rsidRPr="00781843">
        <w:rPr>
          <w:sz w:val="21"/>
          <w:szCs w:val="21"/>
          <w:lang w:eastAsia="es-ES"/>
        </w:rPr>
        <w:t>2012</w:t>
      </w:r>
      <w:r w:rsidR="00C137A6" w:rsidRPr="00781843">
        <w:rPr>
          <w:sz w:val="21"/>
          <w:szCs w:val="21"/>
          <w:lang w:eastAsia="es-ES"/>
        </w:rPr>
        <w:t xml:space="preserve"> – </w:t>
      </w:r>
      <w:r w:rsidR="00CE4418" w:rsidRPr="00781843">
        <w:rPr>
          <w:sz w:val="21"/>
          <w:szCs w:val="21"/>
          <w:lang w:eastAsia="es-ES"/>
        </w:rPr>
        <w:t>2021</w:t>
      </w:r>
      <w:r w:rsidR="00DF79A2" w:rsidRPr="00781843">
        <w:rPr>
          <w:sz w:val="21"/>
          <w:szCs w:val="21"/>
          <w:lang w:eastAsia="es-ES"/>
        </w:rPr>
        <w:t>, que de acuerdo con el Anexo I, la Fundación ONCE ha destinado, al menos, un 60% de la cantidad aportada por la ONCE a los programas de empleo y formación y, destinando la cantidad restante a los programas de accesibilidad universal.</w:t>
      </w:r>
    </w:p>
    <w:p w:rsidR="00985B07" w:rsidRPr="00781843" w:rsidRDefault="00985B07" w:rsidP="00C137A6">
      <w:pPr>
        <w:keepLines/>
        <w:autoSpaceDE w:val="0"/>
        <w:autoSpaceDN w:val="0"/>
        <w:adjustRightInd w:val="0"/>
        <w:spacing w:after="240" w:line="240" w:lineRule="atLeast"/>
        <w:jc w:val="both"/>
        <w:rPr>
          <w:sz w:val="21"/>
          <w:szCs w:val="21"/>
          <w:lang w:val="es-ES_tradnl"/>
        </w:rPr>
      </w:pPr>
      <w:r w:rsidRPr="00781843">
        <w:rPr>
          <w:sz w:val="21"/>
          <w:szCs w:val="21"/>
          <w:lang w:val="es-ES_tradnl"/>
        </w:rPr>
        <w:t>Nuestro trabajo se ha realizado siguiendo normas profesionales de general aceptación en España aplicables a los encargos de procedimientos acordados. En un trabajo de procedimientos acordados es el destinatario del informe quien obtiene sus propias conclusiones a la luz de los hallazgos objetivos sobre los que se le informa. Asimismo el destinatario del informe es responsable de la suficiencia de los procedimientos llevados a cabo para los propósitos perseguidos. En consecuencia, no asumimos responsabilidad alguna sobre la suficiencia de los procedimientos aplicados.</w:t>
      </w:r>
    </w:p>
    <w:p w:rsidR="008111D7" w:rsidRPr="00781843" w:rsidRDefault="008111D7" w:rsidP="00C137A6">
      <w:pPr>
        <w:keepLines/>
        <w:autoSpaceDE w:val="0"/>
        <w:autoSpaceDN w:val="0"/>
        <w:adjustRightInd w:val="0"/>
        <w:spacing w:after="240" w:line="240" w:lineRule="atLeast"/>
        <w:jc w:val="both"/>
        <w:rPr>
          <w:sz w:val="21"/>
          <w:szCs w:val="21"/>
          <w:lang w:val="es-ES_tradnl"/>
        </w:rPr>
      </w:pPr>
      <w:r w:rsidRPr="00781843">
        <w:rPr>
          <w:sz w:val="21"/>
          <w:szCs w:val="21"/>
          <w:lang w:val="es-ES_tradnl"/>
        </w:rPr>
        <w:t xml:space="preserve">Como resultado de los procedimientos aplicados no se han puesto de manifiesto aspectos dignos de mención que supongan una modificación de las cifras contenidas en el Anexo I, relativas a las cláusulas 6ª y 8ª del Acuerdo General entre el Gobierno de la Nación y la Organización Nacional de Ciegos Españoles (ONCE) en materia de cooperación, solidaridad </w:t>
      </w:r>
      <w:r w:rsidR="00CE4418" w:rsidRPr="00781843">
        <w:rPr>
          <w:sz w:val="21"/>
          <w:szCs w:val="21"/>
          <w:lang w:val="es-ES_tradnl"/>
        </w:rPr>
        <w:t xml:space="preserve">y competitividad </w:t>
      </w:r>
      <w:r w:rsidRPr="00781843">
        <w:rPr>
          <w:sz w:val="21"/>
          <w:szCs w:val="21"/>
          <w:lang w:val="es-ES_tradnl"/>
        </w:rPr>
        <w:t>para la estabilidad d</w:t>
      </w:r>
      <w:r w:rsidR="00C137A6" w:rsidRPr="00781843">
        <w:rPr>
          <w:sz w:val="21"/>
          <w:szCs w:val="21"/>
          <w:lang w:val="es-ES_tradnl"/>
        </w:rPr>
        <w:t>e futuro de la ONCE para el perí</w:t>
      </w:r>
      <w:r w:rsidRPr="00781843">
        <w:rPr>
          <w:sz w:val="21"/>
          <w:szCs w:val="21"/>
          <w:lang w:val="es-ES_tradnl"/>
        </w:rPr>
        <w:t>odo 2012 – 2021, aprobado por el Consejo de Ministros 18 de noviembre de 2011.</w:t>
      </w:r>
    </w:p>
    <w:p w:rsidR="00881968" w:rsidRPr="00781843" w:rsidRDefault="00881968" w:rsidP="00C137A6">
      <w:pPr>
        <w:keepLines/>
        <w:autoSpaceDE w:val="0"/>
        <w:autoSpaceDN w:val="0"/>
        <w:adjustRightInd w:val="0"/>
        <w:spacing w:after="240" w:line="240" w:lineRule="atLeast"/>
        <w:jc w:val="both"/>
        <w:rPr>
          <w:sz w:val="21"/>
          <w:szCs w:val="21"/>
          <w:lang w:val="es-ES_tradnl"/>
        </w:rPr>
      </w:pPr>
      <w:r w:rsidRPr="00781843">
        <w:rPr>
          <w:sz w:val="21"/>
          <w:szCs w:val="21"/>
          <w:lang w:val="es-ES_tradnl"/>
        </w:rPr>
        <w:t>Dado que un trabajo de procedimientos acordados  no constituye una auditoría de cuentas ni una revisión limitada, no expresamos una opinión de auditoría sobre la misma ni proporcionamos ninguna seguridad sobre la citada información tomada en su conjunto. Si hubiésemos realizado una auditoría o si se hubiesen aplicado otros procedimientos se podrían haber puesto de manifiesto otros aspectos distintos a los incluidos en este informe.</w:t>
      </w:r>
    </w:p>
    <w:p w:rsidR="00985B07" w:rsidRPr="00781843" w:rsidRDefault="00985B07" w:rsidP="00C137A6">
      <w:pPr>
        <w:keepLines/>
        <w:autoSpaceDE w:val="0"/>
        <w:autoSpaceDN w:val="0"/>
        <w:adjustRightInd w:val="0"/>
        <w:spacing w:after="240" w:line="240" w:lineRule="atLeast"/>
        <w:jc w:val="both"/>
        <w:rPr>
          <w:sz w:val="21"/>
          <w:szCs w:val="21"/>
          <w:lang w:val="es-ES_tradnl"/>
        </w:rPr>
      </w:pPr>
      <w:r w:rsidRPr="00781843">
        <w:rPr>
          <w:sz w:val="21"/>
          <w:szCs w:val="21"/>
          <w:lang w:val="es-ES_tradnl"/>
        </w:rPr>
        <w:t xml:space="preserve">Este informe ha sido preparado </w:t>
      </w:r>
      <w:r w:rsidR="00CC1E27" w:rsidRPr="00781843">
        <w:rPr>
          <w:sz w:val="21"/>
          <w:szCs w:val="21"/>
          <w:lang w:val="es-ES_tradnl"/>
        </w:rPr>
        <w:t>con el propósito de justificar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w:t>
      </w:r>
      <w:r w:rsidR="00C137A6" w:rsidRPr="00781843">
        <w:rPr>
          <w:sz w:val="21"/>
          <w:szCs w:val="21"/>
          <w:lang w:val="es-ES_tradnl"/>
        </w:rPr>
        <w:t>e la ONCE para el perí</w:t>
      </w:r>
      <w:r w:rsidR="00CC1E27" w:rsidRPr="00781843">
        <w:rPr>
          <w:sz w:val="21"/>
          <w:szCs w:val="21"/>
          <w:lang w:val="es-ES_tradnl"/>
        </w:rPr>
        <w:t xml:space="preserve">odo </w:t>
      </w:r>
      <w:r w:rsidR="00FD024B" w:rsidRPr="00781843">
        <w:rPr>
          <w:sz w:val="21"/>
          <w:szCs w:val="21"/>
          <w:lang w:val="es-ES_tradnl"/>
        </w:rPr>
        <w:t>2012</w:t>
      </w:r>
      <w:r w:rsidR="00CC1E27" w:rsidRPr="00781843">
        <w:rPr>
          <w:sz w:val="21"/>
          <w:szCs w:val="21"/>
          <w:lang w:val="es-ES_tradnl"/>
        </w:rPr>
        <w:t xml:space="preserve"> –</w:t>
      </w:r>
      <w:r w:rsidR="00FD024B" w:rsidRPr="00781843">
        <w:rPr>
          <w:sz w:val="21"/>
          <w:szCs w:val="21"/>
          <w:lang w:val="es-ES_tradnl"/>
        </w:rPr>
        <w:t xml:space="preserve"> 2021</w:t>
      </w:r>
      <w:r w:rsidR="00CC1E27" w:rsidRPr="00781843">
        <w:rPr>
          <w:sz w:val="21"/>
          <w:szCs w:val="21"/>
          <w:lang w:val="es-ES_tradnl"/>
        </w:rPr>
        <w:t>, y no puede ser usado para ningún otro fin o ser distribuido a terceros distintos del Consejo General de la ONCE y del Consejo de Protectorado de la ONCE,</w:t>
      </w:r>
      <w:r w:rsidRPr="00781843">
        <w:rPr>
          <w:sz w:val="21"/>
          <w:szCs w:val="21"/>
          <w:lang w:val="es-ES_tradnl"/>
        </w:rPr>
        <w:t xml:space="preserve"> sin que pueda ser distribuido o facilitado a terceros </w:t>
      </w:r>
      <w:r w:rsidR="00ED5588" w:rsidRPr="00781843">
        <w:rPr>
          <w:sz w:val="21"/>
          <w:szCs w:val="21"/>
          <w:lang w:val="es-ES_tradnl"/>
        </w:rPr>
        <w:t xml:space="preserve">y </w:t>
      </w:r>
      <w:r w:rsidRPr="00781843">
        <w:rPr>
          <w:sz w:val="21"/>
          <w:szCs w:val="21"/>
          <w:lang w:val="es-ES_tradnl"/>
        </w:rPr>
        <w:t>sin que pueda utilizar</w:t>
      </w:r>
      <w:r w:rsidR="00ED5588" w:rsidRPr="00781843">
        <w:rPr>
          <w:sz w:val="21"/>
          <w:szCs w:val="21"/>
          <w:lang w:val="es-ES_tradnl"/>
        </w:rPr>
        <w:t xml:space="preserve">se para ninguna otra finalidad </w:t>
      </w:r>
      <w:r w:rsidRPr="00781843">
        <w:rPr>
          <w:sz w:val="21"/>
          <w:szCs w:val="21"/>
          <w:lang w:val="es-ES_tradnl"/>
        </w:rPr>
        <w:t>sin el consentimiento expreso y escrito de Deloitte, S.L. No aceptaremos responsabilidad alguna frente a terceros distintos de los destinatarios del informe.</w:t>
      </w:r>
    </w:p>
    <w:p w:rsidR="00C137A6" w:rsidRPr="00781843" w:rsidRDefault="00C137A6" w:rsidP="00C137A6">
      <w:pPr>
        <w:keepLines/>
        <w:autoSpaceDE w:val="0"/>
        <w:autoSpaceDN w:val="0"/>
        <w:adjustRightInd w:val="0"/>
        <w:spacing w:after="240" w:line="240" w:lineRule="atLeast"/>
        <w:jc w:val="both"/>
        <w:rPr>
          <w:sz w:val="21"/>
          <w:szCs w:val="21"/>
          <w:lang w:val="es-ES_tradnl"/>
        </w:rPr>
      </w:pPr>
      <w:r w:rsidRPr="00781843">
        <w:rPr>
          <w:sz w:val="21"/>
          <w:szCs w:val="21"/>
          <w:lang w:val="es-ES_tradnl"/>
        </w:rPr>
        <w:t>DELOITTE, S.L.</w:t>
      </w:r>
    </w:p>
    <w:p w:rsidR="00C137A6" w:rsidRPr="00781843" w:rsidRDefault="00C137A6" w:rsidP="00C137A6">
      <w:pPr>
        <w:keepLines/>
        <w:autoSpaceDE w:val="0"/>
        <w:autoSpaceDN w:val="0"/>
        <w:adjustRightInd w:val="0"/>
        <w:spacing w:after="240" w:line="240" w:lineRule="atLeast"/>
        <w:jc w:val="both"/>
        <w:rPr>
          <w:sz w:val="21"/>
          <w:szCs w:val="21"/>
          <w:lang w:val="es-ES_tradnl"/>
        </w:rPr>
      </w:pPr>
    </w:p>
    <w:p w:rsidR="00C137A6" w:rsidRPr="00781843" w:rsidRDefault="00C137A6" w:rsidP="00C137A6">
      <w:pPr>
        <w:keepLines/>
        <w:autoSpaceDE w:val="0"/>
        <w:autoSpaceDN w:val="0"/>
        <w:adjustRightInd w:val="0"/>
        <w:spacing w:after="240" w:line="240" w:lineRule="atLeast"/>
        <w:jc w:val="both"/>
        <w:rPr>
          <w:sz w:val="21"/>
          <w:szCs w:val="21"/>
          <w:lang w:val="es-ES_tradnl"/>
        </w:rPr>
      </w:pPr>
    </w:p>
    <w:p w:rsidR="00C137A6" w:rsidRPr="00781843" w:rsidRDefault="00C137A6" w:rsidP="00C137A6">
      <w:pPr>
        <w:keepLines/>
        <w:autoSpaceDE w:val="0"/>
        <w:autoSpaceDN w:val="0"/>
        <w:adjustRightInd w:val="0"/>
        <w:spacing w:line="240" w:lineRule="atLeast"/>
        <w:jc w:val="both"/>
        <w:rPr>
          <w:sz w:val="21"/>
          <w:szCs w:val="21"/>
          <w:lang w:val="es-ES_tradnl"/>
        </w:rPr>
      </w:pPr>
      <w:r w:rsidRPr="00781843">
        <w:rPr>
          <w:sz w:val="21"/>
          <w:szCs w:val="21"/>
          <w:lang w:val="es-ES_tradnl"/>
        </w:rPr>
        <w:t>Luis de la Mora</w:t>
      </w:r>
    </w:p>
    <w:p w:rsidR="00E05372" w:rsidRPr="00781843" w:rsidRDefault="00C137A6" w:rsidP="00781843">
      <w:pPr>
        <w:keepLines/>
        <w:autoSpaceDE w:val="0"/>
        <w:autoSpaceDN w:val="0"/>
        <w:adjustRightInd w:val="0"/>
        <w:spacing w:after="240" w:line="240" w:lineRule="atLeast"/>
        <w:jc w:val="both"/>
        <w:rPr>
          <w:sz w:val="22"/>
          <w:szCs w:val="22"/>
          <w:lang w:val="es-ES_tradnl"/>
        </w:rPr>
      </w:pPr>
      <w:r w:rsidRPr="00781843">
        <w:rPr>
          <w:sz w:val="21"/>
          <w:szCs w:val="21"/>
          <w:lang w:val="es-ES_tradnl"/>
        </w:rPr>
        <w:t>30 de abril de 2014</w:t>
      </w:r>
    </w:p>
    <w:sectPr w:rsidR="00E05372" w:rsidRPr="00781843" w:rsidSect="00781843">
      <w:footerReference w:type="default" r:id="rId7"/>
      <w:headerReference w:type="first" r:id="rId8"/>
      <w:footerReference w:type="first" r:id="rId9"/>
      <w:pgSz w:w="11907" w:h="16840" w:code="9"/>
      <w:pgMar w:top="2155" w:right="1418" w:bottom="1531" w:left="1588"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A3B" w:rsidRDefault="00874A3B">
      <w:r>
        <w:separator/>
      </w:r>
    </w:p>
  </w:endnote>
  <w:endnote w:type="continuationSeparator" w:id="0">
    <w:p w:rsidR="00874A3B" w:rsidRDefault="00874A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EEEI+Garamon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3" w:rsidRDefault="00187A22">
    <w:pPr>
      <w:pStyle w:val="Piedepgina"/>
      <w:jc w:val="right"/>
    </w:pPr>
    <w:r>
      <w:fldChar w:fldCharType="begin"/>
    </w:r>
    <w:r w:rsidR="00781843">
      <w:instrText xml:space="preserve"> PAGE   \* MERGEFORMAT </w:instrText>
    </w:r>
    <w:r>
      <w:fldChar w:fldCharType="separate"/>
    </w:r>
    <w:r w:rsidR="00C205BB">
      <w:rPr>
        <w:noProof/>
      </w:rPr>
      <w:t>2</w:t>
    </w:r>
    <w:r>
      <w:rPr>
        <w:noProof/>
      </w:rPr>
      <w:fldChar w:fldCharType="end"/>
    </w:r>
  </w:p>
  <w:p w:rsidR="00781843" w:rsidRDefault="0078184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3" w:rsidRDefault="00781843">
    <w:pPr>
      <w:pStyle w:val="Piedepgina"/>
      <w:jc w:val="right"/>
    </w:pPr>
  </w:p>
  <w:p w:rsidR="00781843" w:rsidRDefault="007818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A3B" w:rsidRDefault="00874A3B">
      <w:r>
        <w:separator/>
      </w:r>
    </w:p>
  </w:footnote>
  <w:footnote w:type="continuationSeparator" w:id="0">
    <w:p w:rsidR="00874A3B" w:rsidRDefault="00874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18" w:rsidRDefault="00CE4418" w:rsidP="00B07BF9">
    <w:pPr>
      <w:pStyle w:val="Encabezado"/>
      <w:spacing w:after="120" w:line="180" w:lineRule="exact"/>
      <w:jc w:val="right"/>
      <w:rPr>
        <w:b/>
        <w:bCs/>
        <w:noProof/>
        <w:szCs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7FA50"/>
    <w:multiLevelType w:val="hybridMultilevel"/>
    <w:tmpl w:val="D2D7F02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A37450"/>
    <w:multiLevelType w:val="hybridMultilevel"/>
    <w:tmpl w:val="ED8833A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7DDD794"/>
    <w:multiLevelType w:val="hybridMultilevel"/>
    <w:tmpl w:val="2BF677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11C40"/>
    <w:multiLevelType w:val="hybridMultilevel"/>
    <w:tmpl w:val="E92CE5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2D66CC1"/>
    <w:multiLevelType w:val="hybridMultilevel"/>
    <w:tmpl w:val="FAF8AE7A"/>
    <w:lvl w:ilvl="0" w:tplc="0C0A000F">
      <w:start w:val="1"/>
      <w:numFmt w:val="decimal"/>
      <w:lvlText w:val="%1."/>
      <w:lvlJc w:val="left"/>
      <w:pPr>
        <w:ind w:left="1005" w:hanging="360"/>
      </w:p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5">
    <w:nsid w:val="07311BE9"/>
    <w:multiLevelType w:val="hybridMultilevel"/>
    <w:tmpl w:val="DCD4543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1F7CF1"/>
    <w:multiLevelType w:val="hybridMultilevel"/>
    <w:tmpl w:val="FAF8AE7A"/>
    <w:lvl w:ilvl="0" w:tplc="0C0A000F">
      <w:start w:val="1"/>
      <w:numFmt w:val="decimal"/>
      <w:lvlText w:val="%1."/>
      <w:lvlJc w:val="left"/>
      <w:pPr>
        <w:ind w:left="1005" w:hanging="360"/>
      </w:p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7">
    <w:nsid w:val="1B3A24C8"/>
    <w:multiLevelType w:val="hybridMultilevel"/>
    <w:tmpl w:val="66AEB7CE"/>
    <w:lvl w:ilvl="0" w:tplc="B95A421A">
      <w:start w:val="18"/>
      <w:numFmt w:val="bullet"/>
      <w:lvlText w:val="-"/>
      <w:lvlJc w:val="left"/>
      <w:pPr>
        <w:ind w:left="1845" w:hanging="360"/>
      </w:pPr>
      <w:rPr>
        <w:rFonts w:ascii="Times New Roman" w:eastAsia="Times New Roman" w:hAnsi="Times New Roman" w:cs="Times New Roman"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abstractNum w:abstractNumId="8">
    <w:nsid w:val="1CF04F03"/>
    <w:multiLevelType w:val="hybridMultilevel"/>
    <w:tmpl w:val="D556C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84771C"/>
    <w:multiLevelType w:val="hybridMultilevel"/>
    <w:tmpl w:val="767E30C2"/>
    <w:lvl w:ilvl="0" w:tplc="57026A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C0C23"/>
    <w:multiLevelType w:val="multilevel"/>
    <w:tmpl w:val="AAEEE960"/>
    <w:lvl w:ilvl="0">
      <w:start w:val="1"/>
      <w:numFmt w:val="lowerLetter"/>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Letter"/>
      <w:lvlText w:val="%3."/>
      <w:lvlJc w:val="left"/>
      <w:pPr>
        <w:tabs>
          <w:tab w:val="num" w:pos="2368"/>
        </w:tabs>
        <w:ind w:left="2368" w:hanging="360"/>
      </w:pPr>
    </w:lvl>
    <w:lvl w:ilvl="3">
      <w:start w:val="1"/>
      <w:numFmt w:val="lowerLetter"/>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Letter"/>
      <w:lvlText w:val="%6."/>
      <w:lvlJc w:val="left"/>
      <w:pPr>
        <w:tabs>
          <w:tab w:val="num" w:pos="4528"/>
        </w:tabs>
        <w:ind w:left="4528" w:hanging="360"/>
      </w:pPr>
    </w:lvl>
    <w:lvl w:ilvl="6">
      <w:start w:val="1"/>
      <w:numFmt w:val="lowerLetter"/>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Letter"/>
      <w:lvlText w:val="%9."/>
      <w:lvlJc w:val="left"/>
      <w:pPr>
        <w:tabs>
          <w:tab w:val="num" w:pos="6688"/>
        </w:tabs>
        <w:ind w:left="6688" w:hanging="360"/>
      </w:pPr>
    </w:lvl>
  </w:abstractNum>
  <w:abstractNum w:abstractNumId="11">
    <w:nsid w:val="2586B795"/>
    <w:multiLevelType w:val="hybridMultilevel"/>
    <w:tmpl w:val="2DF2AD6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ADA23B7"/>
    <w:multiLevelType w:val="singleLevel"/>
    <w:tmpl w:val="0C0A000F"/>
    <w:lvl w:ilvl="0">
      <w:start w:val="1"/>
      <w:numFmt w:val="decimal"/>
      <w:lvlText w:val="%1."/>
      <w:lvlJc w:val="left"/>
      <w:pPr>
        <w:tabs>
          <w:tab w:val="num" w:pos="360"/>
        </w:tabs>
        <w:ind w:left="360" w:hanging="360"/>
      </w:pPr>
    </w:lvl>
  </w:abstractNum>
  <w:abstractNum w:abstractNumId="13">
    <w:nsid w:val="2EC868A6"/>
    <w:multiLevelType w:val="hybridMultilevel"/>
    <w:tmpl w:val="38EC1604"/>
    <w:lvl w:ilvl="0" w:tplc="DA8605B4">
      <w:start w:val="1"/>
      <w:numFmt w:val="decimal"/>
      <w:lvlText w:val="%1."/>
      <w:lvlJc w:val="left"/>
      <w:pPr>
        <w:ind w:left="1267" w:hanging="360"/>
      </w:pPr>
      <w:rPr>
        <w:rFonts w:hint="default"/>
      </w:rPr>
    </w:lvl>
    <w:lvl w:ilvl="1" w:tplc="0C0A0019" w:tentative="1">
      <w:start w:val="1"/>
      <w:numFmt w:val="lowerLetter"/>
      <w:lvlText w:val="%2."/>
      <w:lvlJc w:val="left"/>
      <w:pPr>
        <w:ind w:left="1987" w:hanging="360"/>
      </w:pPr>
    </w:lvl>
    <w:lvl w:ilvl="2" w:tplc="0C0A001B" w:tentative="1">
      <w:start w:val="1"/>
      <w:numFmt w:val="lowerRoman"/>
      <w:lvlText w:val="%3."/>
      <w:lvlJc w:val="right"/>
      <w:pPr>
        <w:ind w:left="2707" w:hanging="180"/>
      </w:pPr>
    </w:lvl>
    <w:lvl w:ilvl="3" w:tplc="0C0A000F" w:tentative="1">
      <w:start w:val="1"/>
      <w:numFmt w:val="decimal"/>
      <w:lvlText w:val="%4."/>
      <w:lvlJc w:val="left"/>
      <w:pPr>
        <w:ind w:left="3427" w:hanging="360"/>
      </w:pPr>
    </w:lvl>
    <w:lvl w:ilvl="4" w:tplc="0C0A0019" w:tentative="1">
      <w:start w:val="1"/>
      <w:numFmt w:val="lowerLetter"/>
      <w:lvlText w:val="%5."/>
      <w:lvlJc w:val="left"/>
      <w:pPr>
        <w:ind w:left="4147" w:hanging="360"/>
      </w:pPr>
    </w:lvl>
    <w:lvl w:ilvl="5" w:tplc="0C0A001B" w:tentative="1">
      <w:start w:val="1"/>
      <w:numFmt w:val="lowerRoman"/>
      <w:lvlText w:val="%6."/>
      <w:lvlJc w:val="right"/>
      <w:pPr>
        <w:ind w:left="4867" w:hanging="180"/>
      </w:pPr>
    </w:lvl>
    <w:lvl w:ilvl="6" w:tplc="0C0A000F" w:tentative="1">
      <w:start w:val="1"/>
      <w:numFmt w:val="decimal"/>
      <w:lvlText w:val="%7."/>
      <w:lvlJc w:val="left"/>
      <w:pPr>
        <w:ind w:left="5587" w:hanging="360"/>
      </w:pPr>
    </w:lvl>
    <w:lvl w:ilvl="7" w:tplc="0C0A0019" w:tentative="1">
      <w:start w:val="1"/>
      <w:numFmt w:val="lowerLetter"/>
      <w:lvlText w:val="%8."/>
      <w:lvlJc w:val="left"/>
      <w:pPr>
        <w:ind w:left="6307" w:hanging="360"/>
      </w:pPr>
    </w:lvl>
    <w:lvl w:ilvl="8" w:tplc="0C0A001B" w:tentative="1">
      <w:start w:val="1"/>
      <w:numFmt w:val="lowerRoman"/>
      <w:lvlText w:val="%9."/>
      <w:lvlJc w:val="right"/>
      <w:pPr>
        <w:ind w:left="7027" w:hanging="180"/>
      </w:pPr>
    </w:lvl>
  </w:abstractNum>
  <w:abstractNum w:abstractNumId="14">
    <w:nsid w:val="303D06E2"/>
    <w:multiLevelType w:val="hybridMultilevel"/>
    <w:tmpl w:val="9EB5A41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481088C"/>
    <w:multiLevelType w:val="hybridMultilevel"/>
    <w:tmpl w:val="27DED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A252A7"/>
    <w:multiLevelType w:val="hybridMultilevel"/>
    <w:tmpl w:val="348ADA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F13292"/>
    <w:multiLevelType w:val="hybridMultilevel"/>
    <w:tmpl w:val="25A90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B092AB6"/>
    <w:multiLevelType w:val="hybridMultilevel"/>
    <w:tmpl w:val="B3BC33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B737B20"/>
    <w:multiLevelType w:val="singleLevel"/>
    <w:tmpl w:val="C5D8993C"/>
    <w:lvl w:ilvl="0">
      <w:start w:val="1"/>
      <w:numFmt w:val="bullet"/>
      <w:lvlText w:val=""/>
      <w:lvlJc w:val="left"/>
      <w:pPr>
        <w:tabs>
          <w:tab w:val="num" w:pos="360"/>
        </w:tabs>
        <w:ind w:left="360" w:hanging="360"/>
      </w:pPr>
      <w:rPr>
        <w:rFonts w:ascii="Symbol" w:hAnsi="Symbol" w:hint="default"/>
      </w:rPr>
    </w:lvl>
  </w:abstractNum>
  <w:abstractNum w:abstractNumId="20">
    <w:nsid w:val="41A64BAE"/>
    <w:multiLevelType w:val="hybridMultilevel"/>
    <w:tmpl w:val="37260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8620C1B"/>
    <w:multiLevelType w:val="hybridMultilevel"/>
    <w:tmpl w:val="AB3A4B4C"/>
    <w:lvl w:ilvl="0" w:tplc="EBC0B8A8">
      <w:start w:val="1"/>
      <w:numFmt w:val="lowerLetter"/>
      <w:lvlText w:val="%1)"/>
      <w:lvlJc w:val="left"/>
      <w:pPr>
        <w:tabs>
          <w:tab w:val="num" w:pos="567"/>
        </w:tabs>
        <w:ind w:left="567" w:hanging="567"/>
      </w:pPr>
      <w:rPr>
        <w:rFonts w:ascii="Times New Roman" w:hAnsi="Times New Roman"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90878FA"/>
    <w:multiLevelType w:val="hybridMultilevel"/>
    <w:tmpl w:val="09B011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99D535C"/>
    <w:multiLevelType w:val="hybridMultilevel"/>
    <w:tmpl w:val="A23C7A9E"/>
    <w:lvl w:ilvl="0" w:tplc="57026A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A75DE5"/>
    <w:multiLevelType w:val="hybridMultilevel"/>
    <w:tmpl w:val="56FA2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A7B2428"/>
    <w:multiLevelType w:val="hybridMultilevel"/>
    <w:tmpl w:val="8FF898E0"/>
    <w:lvl w:ilvl="0" w:tplc="0C0A0001">
      <w:start w:val="1"/>
      <w:numFmt w:val="bullet"/>
      <w:lvlText w:val=""/>
      <w:lvlJc w:val="left"/>
      <w:pPr>
        <w:ind w:left="2742" w:hanging="360"/>
      </w:pPr>
      <w:rPr>
        <w:rFonts w:ascii="Symbol" w:hAnsi="Symbol" w:hint="default"/>
      </w:rPr>
    </w:lvl>
    <w:lvl w:ilvl="1" w:tplc="0C0A0003" w:tentative="1">
      <w:start w:val="1"/>
      <w:numFmt w:val="bullet"/>
      <w:lvlText w:val="o"/>
      <w:lvlJc w:val="left"/>
      <w:pPr>
        <w:ind w:left="3462" w:hanging="360"/>
      </w:pPr>
      <w:rPr>
        <w:rFonts w:ascii="Courier New" w:hAnsi="Courier New" w:cs="Courier New" w:hint="default"/>
      </w:rPr>
    </w:lvl>
    <w:lvl w:ilvl="2" w:tplc="0C0A0005" w:tentative="1">
      <w:start w:val="1"/>
      <w:numFmt w:val="bullet"/>
      <w:lvlText w:val=""/>
      <w:lvlJc w:val="left"/>
      <w:pPr>
        <w:ind w:left="4182" w:hanging="360"/>
      </w:pPr>
      <w:rPr>
        <w:rFonts w:ascii="Wingdings" w:hAnsi="Wingdings" w:hint="default"/>
      </w:rPr>
    </w:lvl>
    <w:lvl w:ilvl="3" w:tplc="0C0A0001" w:tentative="1">
      <w:start w:val="1"/>
      <w:numFmt w:val="bullet"/>
      <w:lvlText w:val=""/>
      <w:lvlJc w:val="left"/>
      <w:pPr>
        <w:ind w:left="4902" w:hanging="360"/>
      </w:pPr>
      <w:rPr>
        <w:rFonts w:ascii="Symbol" w:hAnsi="Symbol" w:hint="default"/>
      </w:rPr>
    </w:lvl>
    <w:lvl w:ilvl="4" w:tplc="0C0A0003" w:tentative="1">
      <w:start w:val="1"/>
      <w:numFmt w:val="bullet"/>
      <w:lvlText w:val="o"/>
      <w:lvlJc w:val="left"/>
      <w:pPr>
        <w:ind w:left="5622" w:hanging="360"/>
      </w:pPr>
      <w:rPr>
        <w:rFonts w:ascii="Courier New" w:hAnsi="Courier New" w:cs="Courier New" w:hint="default"/>
      </w:rPr>
    </w:lvl>
    <w:lvl w:ilvl="5" w:tplc="0C0A0005" w:tentative="1">
      <w:start w:val="1"/>
      <w:numFmt w:val="bullet"/>
      <w:lvlText w:val=""/>
      <w:lvlJc w:val="left"/>
      <w:pPr>
        <w:ind w:left="6342" w:hanging="360"/>
      </w:pPr>
      <w:rPr>
        <w:rFonts w:ascii="Wingdings" w:hAnsi="Wingdings" w:hint="default"/>
      </w:rPr>
    </w:lvl>
    <w:lvl w:ilvl="6" w:tplc="0C0A0001" w:tentative="1">
      <w:start w:val="1"/>
      <w:numFmt w:val="bullet"/>
      <w:lvlText w:val=""/>
      <w:lvlJc w:val="left"/>
      <w:pPr>
        <w:ind w:left="7062" w:hanging="360"/>
      </w:pPr>
      <w:rPr>
        <w:rFonts w:ascii="Symbol" w:hAnsi="Symbol" w:hint="default"/>
      </w:rPr>
    </w:lvl>
    <w:lvl w:ilvl="7" w:tplc="0C0A0003" w:tentative="1">
      <w:start w:val="1"/>
      <w:numFmt w:val="bullet"/>
      <w:lvlText w:val="o"/>
      <w:lvlJc w:val="left"/>
      <w:pPr>
        <w:ind w:left="7782" w:hanging="360"/>
      </w:pPr>
      <w:rPr>
        <w:rFonts w:ascii="Courier New" w:hAnsi="Courier New" w:cs="Courier New" w:hint="default"/>
      </w:rPr>
    </w:lvl>
    <w:lvl w:ilvl="8" w:tplc="0C0A0005" w:tentative="1">
      <w:start w:val="1"/>
      <w:numFmt w:val="bullet"/>
      <w:lvlText w:val=""/>
      <w:lvlJc w:val="left"/>
      <w:pPr>
        <w:ind w:left="8502" w:hanging="360"/>
      </w:pPr>
      <w:rPr>
        <w:rFonts w:ascii="Wingdings" w:hAnsi="Wingdings" w:hint="default"/>
      </w:rPr>
    </w:lvl>
  </w:abstractNum>
  <w:abstractNum w:abstractNumId="26">
    <w:nsid w:val="50533FFA"/>
    <w:multiLevelType w:val="hybridMultilevel"/>
    <w:tmpl w:val="3252C39A"/>
    <w:lvl w:ilvl="0" w:tplc="0C0A0001">
      <w:start w:val="1"/>
      <w:numFmt w:val="bullet"/>
      <w:lvlText w:val=""/>
      <w:lvlJc w:val="left"/>
      <w:pPr>
        <w:ind w:left="1627" w:hanging="360"/>
      </w:pPr>
      <w:rPr>
        <w:rFonts w:ascii="Symbol" w:hAnsi="Symbol" w:hint="default"/>
      </w:rPr>
    </w:lvl>
    <w:lvl w:ilvl="1" w:tplc="0C0A0003" w:tentative="1">
      <w:start w:val="1"/>
      <w:numFmt w:val="bullet"/>
      <w:lvlText w:val="o"/>
      <w:lvlJc w:val="left"/>
      <w:pPr>
        <w:ind w:left="2347" w:hanging="360"/>
      </w:pPr>
      <w:rPr>
        <w:rFonts w:ascii="Courier New" w:hAnsi="Courier New" w:cs="Courier New" w:hint="default"/>
      </w:rPr>
    </w:lvl>
    <w:lvl w:ilvl="2" w:tplc="0C0A0005" w:tentative="1">
      <w:start w:val="1"/>
      <w:numFmt w:val="bullet"/>
      <w:lvlText w:val=""/>
      <w:lvlJc w:val="left"/>
      <w:pPr>
        <w:ind w:left="3067" w:hanging="360"/>
      </w:pPr>
      <w:rPr>
        <w:rFonts w:ascii="Wingdings" w:hAnsi="Wingdings" w:hint="default"/>
      </w:rPr>
    </w:lvl>
    <w:lvl w:ilvl="3" w:tplc="0C0A0001" w:tentative="1">
      <w:start w:val="1"/>
      <w:numFmt w:val="bullet"/>
      <w:lvlText w:val=""/>
      <w:lvlJc w:val="left"/>
      <w:pPr>
        <w:ind w:left="3787" w:hanging="360"/>
      </w:pPr>
      <w:rPr>
        <w:rFonts w:ascii="Symbol" w:hAnsi="Symbol" w:hint="default"/>
      </w:rPr>
    </w:lvl>
    <w:lvl w:ilvl="4" w:tplc="0C0A0003" w:tentative="1">
      <w:start w:val="1"/>
      <w:numFmt w:val="bullet"/>
      <w:lvlText w:val="o"/>
      <w:lvlJc w:val="left"/>
      <w:pPr>
        <w:ind w:left="4507" w:hanging="360"/>
      </w:pPr>
      <w:rPr>
        <w:rFonts w:ascii="Courier New" w:hAnsi="Courier New" w:cs="Courier New" w:hint="default"/>
      </w:rPr>
    </w:lvl>
    <w:lvl w:ilvl="5" w:tplc="0C0A0005" w:tentative="1">
      <w:start w:val="1"/>
      <w:numFmt w:val="bullet"/>
      <w:lvlText w:val=""/>
      <w:lvlJc w:val="left"/>
      <w:pPr>
        <w:ind w:left="5227" w:hanging="360"/>
      </w:pPr>
      <w:rPr>
        <w:rFonts w:ascii="Wingdings" w:hAnsi="Wingdings" w:hint="default"/>
      </w:rPr>
    </w:lvl>
    <w:lvl w:ilvl="6" w:tplc="0C0A0001" w:tentative="1">
      <w:start w:val="1"/>
      <w:numFmt w:val="bullet"/>
      <w:lvlText w:val=""/>
      <w:lvlJc w:val="left"/>
      <w:pPr>
        <w:ind w:left="5947" w:hanging="360"/>
      </w:pPr>
      <w:rPr>
        <w:rFonts w:ascii="Symbol" w:hAnsi="Symbol" w:hint="default"/>
      </w:rPr>
    </w:lvl>
    <w:lvl w:ilvl="7" w:tplc="0C0A0003" w:tentative="1">
      <w:start w:val="1"/>
      <w:numFmt w:val="bullet"/>
      <w:lvlText w:val="o"/>
      <w:lvlJc w:val="left"/>
      <w:pPr>
        <w:ind w:left="6667" w:hanging="360"/>
      </w:pPr>
      <w:rPr>
        <w:rFonts w:ascii="Courier New" w:hAnsi="Courier New" w:cs="Courier New" w:hint="default"/>
      </w:rPr>
    </w:lvl>
    <w:lvl w:ilvl="8" w:tplc="0C0A0005" w:tentative="1">
      <w:start w:val="1"/>
      <w:numFmt w:val="bullet"/>
      <w:lvlText w:val=""/>
      <w:lvlJc w:val="left"/>
      <w:pPr>
        <w:ind w:left="7387" w:hanging="360"/>
      </w:pPr>
      <w:rPr>
        <w:rFonts w:ascii="Wingdings" w:hAnsi="Wingdings" w:hint="default"/>
      </w:rPr>
    </w:lvl>
  </w:abstractNum>
  <w:abstractNum w:abstractNumId="27">
    <w:nsid w:val="52217EFA"/>
    <w:multiLevelType w:val="hybridMultilevel"/>
    <w:tmpl w:val="44422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2F96CAF"/>
    <w:multiLevelType w:val="hybridMultilevel"/>
    <w:tmpl w:val="26CCE958"/>
    <w:lvl w:ilvl="0" w:tplc="638A23B4">
      <w:start w:val="1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C13D2F"/>
    <w:multiLevelType w:val="hybridMultilevel"/>
    <w:tmpl w:val="FA0C5404"/>
    <w:lvl w:ilvl="0" w:tplc="3A96EC9A">
      <w:start w:val="1"/>
      <w:numFmt w:val="decimal"/>
      <w:lvlText w:val="%1)"/>
      <w:lvlJc w:val="left"/>
      <w:pPr>
        <w:tabs>
          <w:tab w:val="num" w:pos="360"/>
        </w:tabs>
        <w:ind w:left="360" w:hanging="360"/>
      </w:pPr>
      <w:rPr>
        <w:rFonts w:ascii="Times New Roman" w:hAnsi="Times New Roman"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1C2485"/>
    <w:multiLevelType w:val="hybridMultilevel"/>
    <w:tmpl w:val="553E8528"/>
    <w:lvl w:ilvl="0" w:tplc="04090005">
      <w:start w:val="1"/>
      <w:numFmt w:val="bullet"/>
      <w:lvlText w:val=""/>
      <w:lvlJc w:val="left"/>
      <w:pPr>
        <w:tabs>
          <w:tab w:val="num" w:pos="1154"/>
        </w:tabs>
        <w:ind w:left="1154" w:hanging="360"/>
      </w:pPr>
      <w:rPr>
        <w:rFonts w:ascii="Wingdings" w:hAnsi="Wingdings" w:hint="default"/>
      </w:rPr>
    </w:lvl>
    <w:lvl w:ilvl="1" w:tplc="04090003" w:tentative="1">
      <w:start w:val="1"/>
      <w:numFmt w:val="bullet"/>
      <w:lvlText w:val="o"/>
      <w:lvlJc w:val="left"/>
      <w:pPr>
        <w:tabs>
          <w:tab w:val="num" w:pos="1874"/>
        </w:tabs>
        <w:ind w:left="1874" w:hanging="360"/>
      </w:pPr>
      <w:rPr>
        <w:rFonts w:ascii="Courier New" w:hAnsi="Courier New" w:cs="Courier New" w:hint="default"/>
      </w:rPr>
    </w:lvl>
    <w:lvl w:ilvl="2" w:tplc="04090005" w:tentative="1">
      <w:start w:val="1"/>
      <w:numFmt w:val="bullet"/>
      <w:lvlText w:val=""/>
      <w:lvlJc w:val="left"/>
      <w:pPr>
        <w:tabs>
          <w:tab w:val="num" w:pos="2594"/>
        </w:tabs>
        <w:ind w:left="2594" w:hanging="360"/>
      </w:pPr>
      <w:rPr>
        <w:rFonts w:ascii="Wingdings" w:hAnsi="Wingdings" w:hint="default"/>
      </w:rPr>
    </w:lvl>
    <w:lvl w:ilvl="3" w:tplc="04090001" w:tentative="1">
      <w:start w:val="1"/>
      <w:numFmt w:val="bullet"/>
      <w:lvlText w:val=""/>
      <w:lvlJc w:val="left"/>
      <w:pPr>
        <w:tabs>
          <w:tab w:val="num" w:pos="3314"/>
        </w:tabs>
        <w:ind w:left="3314" w:hanging="360"/>
      </w:pPr>
      <w:rPr>
        <w:rFonts w:ascii="Symbol" w:hAnsi="Symbol" w:hint="default"/>
      </w:rPr>
    </w:lvl>
    <w:lvl w:ilvl="4" w:tplc="04090003" w:tentative="1">
      <w:start w:val="1"/>
      <w:numFmt w:val="bullet"/>
      <w:lvlText w:val="o"/>
      <w:lvlJc w:val="left"/>
      <w:pPr>
        <w:tabs>
          <w:tab w:val="num" w:pos="4034"/>
        </w:tabs>
        <w:ind w:left="4034" w:hanging="360"/>
      </w:pPr>
      <w:rPr>
        <w:rFonts w:ascii="Courier New" w:hAnsi="Courier New" w:cs="Courier New" w:hint="default"/>
      </w:rPr>
    </w:lvl>
    <w:lvl w:ilvl="5" w:tplc="04090005" w:tentative="1">
      <w:start w:val="1"/>
      <w:numFmt w:val="bullet"/>
      <w:lvlText w:val=""/>
      <w:lvlJc w:val="left"/>
      <w:pPr>
        <w:tabs>
          <w:tab w:val="num" w:pos="4754"/>
        </w:tabs>
        <w:ind w:left="4754" w:hanging="360"/>
      </w:pPr>
      <w:rPr>
        <w:rFonts w:ascii="Wingdings" w:hAnsi="Wingdings" w:hint="default"/>
      </w:rPr>
    </w:lvl>
    <w:lvl w:ilvl="6" w:tplc="04090001" w:tentative="1">
      <w:start w:val="1"/>
      <w:numFmt w:val="bullet"/>
      <w:lvlText w:val=""/>
      <w:lvlJc w:val="left"/>
      <w:pPr>
        <w:tabs>
          <w:tab w:val="num" w:pos="5474"/>
        </w:tabs>
        <w:ind w:left="5474" w:hanging="360"/>
      </w:pPr>
      <w:rPr>
        <w:rFonts w:ascii="Symbol" w:hAnsi="Symbol" w:hint="default"/>
      </w:rPr>
    </w:lvl>
    <w:lvl w:ilvl="7" w:tplc="04090003" w:tentative="1">
      <w:start w:val="1"/>
      <w:numFmt w:val="bullet"/>
      <w:lvlText w:val="o"/>
      <w:lvlJc w:val="left"/>
      <w:pPr>
        <w:tabs>
          <w:tab w:val="num" w:pos="6194"/>
        </w:tabs>
        <w:ind w:left="6194" w:hanging="360"/>
      </w:pPr>
      <w:rPr>
        <w:rFonts w:ascii="Courier New" w:hAnsi="Courier New" w:cs="Courier New" w:hint="default"/>
      </w:rPr>
    </w:lvl>
    <w:lvl w:ilvl="8" w:tplc="04090005" w:tentative="1">
      <w:start w:val="1"/>
      <w:numFmt w:val="bullet"/>
      <w:lvlText w:val=""/>
      <w:lvlJc w:val="left"/>
      <w:pPr>
        <w:tabs>
          <w:tab w:val="num" w:pos="6914"/>
        </w:tabs>
        <w:ind w:left="6914" w:hanging="360"/>
      </w:pPr>
      <w:rPr>
        <w:rFonts w:ascii="Wingdings" w:hAnsi="Wingdings" w:hint="default"/>
      </w:rPr>
    </w:lvl>
  </w:abstractNum>
  <w:abstractNum w:abstractNumId="31">
    <w:nsid w:val="5E38435F"/>
    <w:multiLevelType w:val="hybridMultilevel"/>
    <w:tmpl w:val="B29A42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927AB6"/>
    <w:multiLevelType w:val="hybridMultilevel"/>
    <w:tmpl w:val="3C74C0D8"/>
    <w:lvl w:ilvl="0" w:tplc="D9D0B202">
      <w:start w:val="1"/>
      <w:numFmt w:val="decimal"/>
      <w:lvlText w:val="%1"/>
      <w:lvlJc w:val="left"/>
      <w:pPr>
        <w:ind w:left="720" w:hanging="360"/>
      </w:pPr>
      <w:rPr>
        <w:rFonts w:hint="default"/>
        <w:color w:val="FF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1BCA2A9"/>
    <w:multiLevelType w:val="hybridMultilevel"/>
    <w:tmpl w:val="8529AB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6232999"/>
    <w:multiLevelType w:val="hybridMultilevel"/>
    <w:tmpl w:val="3070BB54"/>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5">
    <w:nsid w:val="699B281A"/>
    <w:multiLevelType w:val="hybridMultilevel"/>
    <w:tmpl w:val="CFD6C65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E6B3EE1"/>
    <w:multiLevelType w:val="hybridMultilevel"/>
    <w:tmpl w:val="046AA8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EE043E6"/>
    <w:multiLevelType w:val="hybridMultilevel"/>
    <w:tmpl w:val="D7C8B498"/>
    <w:lvl w:ilvl="0" w:tplc="57026A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A67192"/>
    <w:multiLevelType w:val="hybridMultilevel"/>
    <w:tmpl w:val="046AA8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2502B32"/>
    <w:multiLevelType w:val="hybridMultilevel"/>
    <w:tmpl w:val="940897F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6160638"/>
    <w:multiLevelType w:val="hybridMultilevel"/>
    <w:tmpl w:val="982C7930"/>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nsid w:val="7C1162E8"/>
    <w:multiLevelType w:val="singleLevel"/>
    <w:tmpl w:val="C5D8993C"/>
    <w:lvl w:ilvl="0">
      <w:start w:val="1"/>
      <w:numFmt w:val="bullet"/>
      <w:lvlText w:val=""/>
      <w:lvlJc w:val="left"/>
      <w:pPr>
        <w:tabs>
          <w:tab w:val="num" w:pos="360"/>
        </w:tabs>
        <w:ind w:left="360" w:hanging="360"/>
      </w:pPr>
      <w:rPr>
        <w:rFonts w:ascii="Symbol" w:hAnsi="Symbol" w:hint="default"/>
      </w:rPr>
    </w:lvl>
  </w:abstractNum>
  <w:abstractNum w:abstractNumId="42">
    <w:nsid w:val="7E2C2493"/>
    <w:multiLevelType w:val="hybridMultilevel"/>
    <w:tmpl w:val="B540E5AA"/>
    <w:lvl w:ilvl="0" w:tplc="04090005">
      <w:start w:val="1"/>
      <w:numFmt w:val="bullet"/>
      <w:lvlText w:val=""/>
      <w:lvlJc w:val="left"/>
      <w:pPr>
        <w:tabs>
          <w:tab w:val="num" w:pos="1117"/>
        </w:tabs>
        <w:ind w:left="1117" w:hanging="360"/>
      </w:pPr>
      <w:rPr>
        <w:rFonts w:ascii="Wingdings" w:hAnsi="Wingdings"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43">
    <w:nsid w:val="7F122089"/>
    <w:multiLevelType w:val="hybridMultilevel"/>
    <w:tmpl w:val="AB3A4B4C"/>
    <w:lvl w:ilvl="0" w:tplc="EBC0B8A8">
      <w:start w:val="1"/>
      <w:numFmt w:val="lowerLetter"/>
      <w:lvlText w:val="%1)"/>
      <w:lvlJc w:val="left"/>
      <w:pPr>
        <w:tabs>
          <w:tab w:val="num" w:pos="567"/>
        </w:tabs>
        <w:ind w:left="567" w:hanging="567"/>
      </w:pPr>
      <w:rPr>
        <w:rFonts w:ascii="Times New Roman" w:hAnsi="Times New Roman"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A247D1"/>
    <w:multiLevelType w:val="hybridMultilevel"/>
    <w:tmpl w:val="046AA8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2"/>
  </w:num>
  <w:num w:numId="3">
    <w:abstractNumId w:val="5"/>
  </w:num>
  <w:num w:numId="4">
    <w:abstractNumId w:val="39"/>
  </w:num>
  <w:num w:numId="5">
    <w:abstractNumId w:val="31"/>
  </w:num>
  <w:num w:numId="6">
    <w:abstractNumId w:val="9"/>
  </w:num>
  <w:num w:numId="7">
    <w:abstractNumId w:val="37"/>
  </w:num>
  <w:num w:numId="8">
    <w:abstractNumId w:val="41"/>
  </w:num>
  <w:num w:numId="9">
    <w:abstractNumId w:val="19"/>
  </w:num>
  <w:num w:numId="10">
    <w:abstractNumId w:val="34"/>
  </w:num>
  <w:num w:numId="11">
    <w:abstractNumId w:val="28"/>
  </w:num>
  <w:num w:numId="12">
    <w:abstractNumId w:val="14"/>
  </w:num>
  <w:num w:numId="13">
    <w:abstractNumId w:val="17"/>
  </w:num>
  <w:num w:numId="14">
    <w:abstractNumId w:val="33"/>
  </w:num>
  <w:num w:numId="15">
    <w:abstractNumId w:val="18"/>
  </w:num>
  <w:num w:numId="16">
    <w:abstractNumId w:val="1"/>
  </w:num>
  <w:num w:numId="17">
    <w:abstractNumId w:val="11"/>
  </w:num>
  <w:num w:numId="18">
    <w:abstractNumId w:val="35"/>
  </w:num>
  <w:num w:numId="19">
    <w:abstractNumId w:val="2"/>
  </w:num>
  <w:num w:numId="20">
    <w:abstractNumId w:val="0"/>
  </w:num>
  <w:num w:numId="21">
    <w:abstractNumId w:val="15"/>
  </w:num>
  <w:num w:numId="22">
    <w:abstractNumId w:val="8"/>
  </w:num>
  <w:num w:numId="23">
    <w:abstractNumId w:val="23"/>
  </w:num>
  <w:num w:numId="24">
    <w:abstractNumId w:val="43"/>
  </w:num>
  <w:num w:numId="25">
    <w:abstractNumId w:val="29"/>
  </w:num>
  <w:num w:numId="26">
    <w:abstractNumId w:val="42"/>
  </w:num>
  <w:num w:numId="27">
    <w:abstractNumId w:val="30"/>
  </w:num>
  <w:num w:numId="28">
    <w:abstractNumId w:val="21"/>
  </w:num>
  <w:num w:numId="29">
    <w:abstractNumId w:val="20"/>
  </w:num>
  <w:num w:numId="30">
    <w:abstractNumId w:val="32"/>
  </w:num>
  <w:num w:numId="31">
    <w:abstractNumId w:val="25"/>
  </w:num>
  <w:num w:numId="32">
    <w:abstractNumId w:val="24"/>
  </w:num>
  <w:num w:numId="33">
    <w:abstractNumId w:val="27"/>
  </w:num>
  <w:num w:numId="34">
    <w:abstractNumId w:val="7"/>
  </w:num>
  <w:num w:numId="35">
    <w:abstractNumId w:val="4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num>
  <w:num w:numId="39">
    <w:abstractNumId w:val="26"/>
  </w:num>
  <w:num w:numId="40">
    <w:abstractNumId w:val="13"/>
  </w:num>
  <w:num w:numId="41">
    <w:abstractNumId w:val="6"/>
  </w:num>
  <w:num w:numId="42">
    <w:abstractNumId w:val="36"/>
  </w:num>
  <w:num w:numId="43">
    <w:abstractNumId w:val="16"/>
  </w:num>
  <w:num w:numId="44">
    <w:abstractNumId w:val="44"/>
  </w:num>
  <w:num w:numId="45">
    <w:abstractNumId w:val="3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397"/>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71364F"/>
    <w:rsid w:val="00002A10"/>
    <w:rsid w:val="00003DC0"/>
    <w:rsid w:val="000113C6"/>
    <w:rsid w:val="00042DFA"/>
    <w:rsid w:val="0005191A"/>
    <w:rsid w:val="00054FE4"/>
    <w:rsid w:val="00075888"/>
    <w:rsid w:val="00082241"/>
    <w:rsid w:val="000827C2"/>
    <w:rsid w:val="00083FA1"/>
    <w:rsid w:val="000A0CC9"/>
    <w:rsid w:val="000B2609"/>
    <w:rsid w:val="000B6FD8"/>
    <w:rsid w:val="000B726D"/>
    <w:rsid w:val="000D1631"/>
    <w:rsid w:val="000D20B5"/>
    <w:rsid w:val="000D5382"/>
    <w:rsid w:val="001124DD"/>
    <w:rsid w:val="00116217"/>
    <w:rsid w:val="001257A5"/>
    <w:rsid w:val="001262EB"/>
    <w:rsid w:val="00131D5A"/>
    <w:rsid w:val="00152889"/>
    <w:rsid w:val="001562FC"/>
    <w:rsid w:val="0016376A"/>
    <w:rsid w:val="00165087"/>
    <w:rsid w:val="001665C5"/>
    <w:rsid w:val="00182151"/>
    <w:rsid w:val="00182A4F"/>
    <w:rsid w:val="00187A22"/>
    <w:rsid w:val="00190082"/>
    <w:rsid w:val="00190403"/>
    <w:rsid w:val="0019405F"/>
    <w:rsid w:val="001A214E"/>
    <w:rsid w:val="001A7D6C"/>
    <w:rsid w:val="001B19D3"/>
    <w:rsid w:val="001B41C4"/>
    <w:rsid w:val="001C2963"/>
    <w:rsid w:val="001D0F5E"/>
    <w:rsid w:val="001D4615"/>
    <w:rsid w:val="001E030C"/>
    <w:rsid w:val="001F1432"/>
    <w:rsid w:val="001F1E8E"/>
    <w:rsid w:val="001F3417"/>
    <w:rsid w:val="001F45A9"/>
    <w:rsid w:val="001F6D78"/>
    <w:rsid w:val="0022376A"/>
    <w:rsid w:val="002270FC"/>
    <w:rsid w:val="00233BDE"/>
    <w:rsid w:val="00244736"/>
    <w:rsid w:val="00250588"/>
    <w:rsid w:val="00250DE1"/>
    <w:rsid w:val="00251D9C"/>
    <w:rsid w:val="00262B00"/>
    <w:rsid w:val="002700B8"/>
    <w:rsid w:val="00271A7B"/>
    <w:rsid w:val="00274BAC"/>
    <w:rsid w:val="002752D4"/>
    <w:rsid w:val="002755DF"/>
    <w:rsid w:val="00291A2A"/>
    <w:rsid w:val="002A6121"/>
    <w:rsid w:val="002B32C5"/>
    <w:rsid w:val="002B7376"/>
    <w:rsid w:val="002B7520"/>
    <w:rsid w:val="002C1285"/>
    <w:rsid w:val="002C6D22"/>
    <w:rsid w:val="002C7BC5"/>
    <w:rsid w:val="002E1F26"/>
    <w:rsid w:val="002E28E4"/>
    <w:rsid w:val="002F0A1A"/>
    <w:rsid w:val="00304786"/>
    <w:rsid w:val="00304AC2"/>
    <w:rsid w:val="00310ED2"/>
    <w:rsid w:val="003111F8"/>
    <w:rsid w:val="00313370"/>
    <w:rsid w:val="00314BC1"/>
    <w:rsid w:val="003201B6"/>
    <w:rsid w:val="003240D0"/>
    <w:rsid w:val="0033299C"/>
    <w:rsid w:val="00344FB5"/>
    <w:rsid w:val="00350F86"/>
    <w:rsid w:val="00360190"/>
    <w:rsid w:val="00364DAF"/>
    <w:rsid w:val="00365F48"/>
    <w:rsid w:val="00376B40"/>
    <w:rsid w:val="00387BF6"/>
    <w:rsid w:val="00397330"/>
    <w:rsid w:val="003A2383"/>
    <w:rsid w:val="003A63C7"/>
    <w:rsid w:val="003C112F"/>
    <w:rsid w:val="003C31C0"/>
    <w:rsid w:val="003E317B"/>
    <w:rsid w:val="003F2B98"/>
    <w:rsid w:val="003F5BAD"/>
    <w:rsid w:val="003F619C"/>
    <w:rsid w:val="004010FC"/>
    <w:rsid w:val="00412CCF"/>
    <w:rsid w:val="004275D2"/>
    <w:rsid w:val="0043321F"/>
    <w:rsid w:val="00434938"/>
    <w:rsid w:val="0043631A"/>
    <w:rsid w:val="00442765"/>
    <w:rsid w:val="00454A9E"/>
    <w:rsid w:val="004553AD"/>
    <w:rsid w:val="0046704E"/>
    <w:rsid w:val="004753CD"/>
    <w:rsid w:val="004802E0"/>
    <w:rsid w:val="0048297C"/>
    <w:rsid w:val="00497974"/>
    <w:rsid w:val="004A287D"/>
    <w:rsid w:val="004A4769"/>
    <w:rsid w:val="004A55B1"/>
    <w:rsid w:val="004B54B7"/>
    <w:rsid w:val="004C5A02"/>
    <w:rsid w:val="004D0B5A"/>
    <w:rsid w:val="004D21EE"/>
    <w:rsid w:val="004E283F"/>
    <w:rsid w:val="004F0544"/>
    <w:rsid w:val="004F11E3"/>
    <w:rsid w:val="004F1A55"/>
    <w:rsid w:val="004F2F94"/>
    <w:rsid w:val="00510A9D"/>
    <w:rsid w:val="00510B11"/>
    <w:rsid w:val="005156E8"/>
    <w:rsid w:val="00520607"/>
    <w:rsid w:val="0052444B"/>
    <w:rsid w:val="00527D20"/>
    <w:rsid w:val="00554E3D"/>
    <w:rsid w:val="00564B8F"/>
    <w:rsid w:val="0057194C"/>
    <w:rsid w:val="00584671"/>
    <w:rsid w:val="005A1D20"/>
    <w:rsid w:val="005A313A"/>
    <w:rsid w:val="005C6927"/>
    <w:rsid w:val="005E5E11"/>
    <w:rsid w:val="00600F42"/>
    <w:rsid w:val="00606B27"/>
    <w:rsid w:val="00607CB4"/>
    <w:rsid w:val="0061208F"/>
    <w:rsid w:val="00612B65"/>
    <w:rsid w:val="00617BA9"/>
    <w:rsid w:val="006208B5"/>
    <w:rsid w:val="00624351"/>
    <w:rsid w:val="006261BE"/>
    <w:rsid w:val="00641839"/>
    <w:rsid w:val="00652CF0"/>
    <w:rsid w:val="00653477"/>
    <w:rsid w:val="006619B7"/>
    <w:rsid w:val="00665E96"/>
    <w:rsid w:val="00674881"/>
    <w:rsid w:val="0067785B"/>
    <w:rsid w:val="00690EEC"/>
    <w:rsid w:val="0069204E"/>
    <w:rsid w:val="006A2ADB"/>
    <w:rsid w:val="006B15A3"/>
    <w:rsid w:val="006F169B"/>
    <w:rsid w:val="0071364F"/>
    <w:rsid w:val="007162C0"/>
    <w:rsid w:val="007237DB"/>
    <w:rsid w:val="00730112"/>
    <w:rsid w:val="00747493"/>
    <w:rsid w:val="0074774B"/>
    <w:rsid w:val="00753C26"/>
    <w:rsid w:val="007546F0"/>
    <w:rsid w:val="007571F8"/>
    <w:rsid w:val="007600F3"/>
    <w:rsid w:val="007601AD"/>
    <w:rsid w:val="00781843"/>
    <w:rsid w:val="007849BE"/>
    <w:rsid w:val="007901F0"/>
    <w:rsid w:val="0079192E"/>
    <w:rsid w:val="00796F5E"/>
    <w:rsid w:val="00797A01"/>
    <w:rsid w:val="007A5668"/>
    <w:rsid w:val="007A616D"/>
    <w:rsid w:val="007A616F"/>
    <w:rsid w:val="007B4EA9"/>
    <w:rsid w:val="007C02CC"/>
    <w:rsid w:val="007C4E3C"/>
    <w:rsid w:val="007D1784"/>
    <w:rsid w:val="007D2E94"/>
    <w:rsid w:val="007E62D5"/>
    <w:rsid w:val="007E6A6A"/>
    <w:rsid w:val="007F28D4"/>
    <w:rsid w:val="007F7B37"/>
    <w:rsid w:val="00802241"/>
    <w:rsid w:val="00807958"/>
    <w:rsid w:val="008111D7"/>
    <w:rsid w:val="008261BA"/>
    <w:rsid w:val="00847483"/>
    <w:rsid w:val="00857C0D"/>
    <w:rsid w:val="00874A3B"/>
    <w:rsid w:val="00876716"/>
    <w:rsid w:val="00881968"/>
    <w:rsid w:val="00891361"/>
    <w:rsid w:val="008945FF"/>
    <w:rsid w:val="008969CF"/>
    <w:rsid w:val="008A3E54"/>
    <w:rsid w:val="008B6D58"/>
    <w:rsid w:val="008B7486"/>
    <w:rsid w:val="008C2DD0"/>
    <w:rsid w:val="008D3B9F"/>
    <w:rsid w:val="008F4968"/>
    <w:rsid w:val="008F51DD"/>
    <w:rsid w:val="00900C21"/>
    <w:rsid w:val="00910F37"/>
    <w:rsid w:val="00920655"/>
    <w:rsid w:val="009215FE"/>
    <w:rsid w:val="009228C2"/>
    <w:rsid w:val="0093092D"/>
    <w:rsid w:val="00947676"/>
    <w:rsid w:val="009478B7"/>
    <w:rsid w:val="009516E8"/>
    <w:rsid w:val="00952E76"/>
    <w:rsid w:val="00953077"/>
    <w:rsid w:val="009539EE"/>
    <w:rsid w:val="009563EA"/>
    <w:rsid w:val="00957A7A"/>
    <w:rsid w:val="00964A45"/>
    <w:rsid w:val="00966AA3"/>
    <w:rsid w:val="00971E4A"/>
    <w:rsid w:val="00973BA3"/>
    <w:rsid w:val="00976B05"/>
    <w:rsid w:val="00985B07"/>
    <w:rsid w:val="00986510"/>
    <w:rsid w:val="00986AB1"/>
    <w:rsid w:val="00996F37"/>
    <w:rsid w:val="009A0978"/>
    <w:rsid w:val="009B28E6"/>
    <w:rsid w:val="009B449B"/>
    <w:rsid w:val="009C03A8"/>
    <w:rsid w:val="009C6335"/>
    <w:rsid w:val="009C7A2F"/>
    <w:rsid w:val="009D03D3"/>
    <w:rsid w:val="009D5A85"/>
    <w:rsid w:val="009D7979"/>
    <w:rsid w:val="009E4695"/>
    <w:rsid w:val="009F06D1"/>
    <w:rsid w:val="009F7F36"/>
    <w:rsid w:val="00A01159"/>
    <w:rsid w:val="00A130F1"/>
    <w:rsid w:val="00A242A8"/>
    <w:rsid w:val="00A4022F"/>
    <w:rsid w:val="00A408A0"/>
    <w:rsid w:val="00A457DE"/>
    <w:rsid w:val="00A47E82"/>
    <w:rsid w:val="00A53360"/>
    <w:rsid w:val="00A54E52"/>
    <w:rsid w:val="00A56B1C"/>
    <w:rsid w:val="00A57A63"/>
    <w:rsid w:val="00A91949"/>
    <w:rsid w:val="00AA164D"/>
    <w:rsid w:val="00AA7258"/>
    <w:rsid w:val="00AC4F45"/>
    <w:rsid w:val="00AC5649"/>
    <w:rsid w:val="00AC62A7"/>
    <w:rsid w:val="00AC73A8"/>
    <w:rsid w:val="00AC775A"/>
    <w:rsid w:val="00AD4077"/>
    <w:rsid w:val="00AD4A87"/>
    <w:rsid w:val="00AE43F9"/>
    <w:rsid w:val="00AE4E22"/>
    <w:rsid w:val="00AF3480"/>
    <w:rsid w:val="00AF3D58"/>
    <w:rsid w:val="00AF6DDC"/>
    <w:rsid w:val="00AF7A70"/>
    <w:rsid w:val="00B047DC"/>
    <w:rsid w:val="00B07BF9"/>
    <w:rsid w:val="00B24CD7"/>
    <w:rsid w:val="00B274AB"/>
    <w:rsid w:val="00B338C3"/>
    <w:rsid w:val="00B430D3"/>
    <w:rsid w:val="00B4531C"/>
    <w:rsid w:val="00B52242"/>
    <w:rsid w:val="00B53B3C"/>
    <w:rsid w:val="00B560B3"/>
    <w:rsid w:val="00B64FE7"/>
    <w:rsid w:val="00B66883"/>
    <w:rsid w:val="00B72983"/>
    <w:rsid w:val="00B751AD"/>
    <w:rsid w:val="00B91A5E"/>
    <w:rsid w:val="00B92021"/>
    <w:rsid w:val="00B96D3C"/>
    <w:rsid w:val="00BA71B9"/>
    <w:rsid w:val="00BB4B67"/>
    <w:rsid w:val="00BC1AFA"/>
    <w:rsid w:val="00BD07BD"/>
    <w:rsid w:val="00BD3BBD"/>
    <w:rsid w:val="00BD474B"/>
    <w:rsid w:val="00BD4A00"/>
    <w:rsid w:val="00BE2B60"/>
    <w:rsid w:val="00BE3278"/>
    <w:rsid w:val="00BE5679"/>
    <w:rsid w:val="00BF3A36"/>
    <w:rsid w:val="00BF4E3F"/>
    <w:rsid w:val="00C0795B"/>
    <w:rsid w:val="00C104F1"/>
    <w:rsid w:val="00C137A6"/>
    <w:rsid w:val="00C16834"/>
    <w:rsid w:val="00C17368"/>
    <w:rsid w:val="00C20486"/>
    <w:rsid w:val="00C205BB"/>
    <w:rsid w:val="00C22635"/>
    <w:rsid w:val="00C23A08"/>
    <w:rsid w:val="00C308AE"/>
    <w:rsid w:val="00C40050"/>
    <w:rsid w:val="00C4301C"/>
    <w:rsid w:val="00C46F68"/>
    <w:rsid w:val="00C47F3B"/>
    <w:rsid w:val="00C75942"/>
    <w:rsid w:val="00C76DD9"/>
    <w:rsid w:val="00C81716"/>
    <w:rsid w:val="00C838EB"/>
    <w:rsid w:val="00C9405A"/>
    <w:rsid w:val="00CA787C"/>
    <w:rsid w:val="00CB6F47"/>
    <w:rsid w:val="00CC1E27"/>
    <w:rsid w:val="00CC2316"/>
    <w:rsid w:val="00CD2442"/>
    <w:rsid w:val="00CD5FD1"/>
    <w:rsid w:val="00CE0828"/>
    <w:rsid w:val="00CE4418"/>
    <w:rsid w:val="00CE6826"/>
    <w:rsid w:val="00CF393A"/>
    <w:rsid w:val="00D05C40"/>
    <w:rsid w:val="00D068EC"/>
    <w:rsid w:val="00D1060A"/>
    <w:rsid w:val="00D17B86"/>
    <w:rsid w:val="00D23B5A"/>
    <w:rsid w:val="00D24424"/>
    <w:rsid w:val="00D64F00"/>
    <w:rsid w:val="00D75B96"/>
    <w:rsid w:val="00D81F0F"/>
    <w:rsid w:val="00D94489"/>
    <w:rsid w:val="00D9659B"/>
    <w:rsid w:val="00D9781B"/>
    <w:rsid w:val="00DA0704"/>
    <w:rsid w:val="00DA3E46"/>
    <w:rsid w:val="00DA6BAC"/>
    <w:rsid w:val="00DA6CFA"/>
    <w:rsid w:val="00DA7500"/>
    <w:rsid w:val="00DC769C"/>
    <w:rsid w:val="00DD16AD"/>
    <w:rsid w:val="00DD7FC3"/>
    <w:rsid w:val="00DE061D"/>
    <w:rsid w:val="00DE1DD0"/>
    <w:rsid w:val="00DE7BFF"/>
    <w:rsid w:val="00DF79A2"/>
    <w:rsid w:val="00E02629"/>
    <w:rsid w:val="00E05372"/>
    <w:rsid w:val="00E10355"/>
    <w:rsid w:val="00E217D6"/>
    <w:rsid w:val="00E22A6C"/>
    <w:rsid w:val="00E272C8"/>
    <w:rsid w:val="00E419A0"/>
    <w:rsid w:val="00E454A7"/>
    <w:rsid w:val="00E54D32"/>
    <w:rsid w:val="00E54D44"/>
    <w:rsid w:val="00E57AD6"/>
    <w:rsid w:val="00E6330F"/>
    <w:rsid w:val="00E63D9C"/>
    <w:rsid w:val="00E678C1"/>
    <w:rsid w:val="00E71F29"/>
    <w:rsid w:val="00E77554"/>
    <w:rsid w:val="00E83E00"/>
    <w:rsid w:val="00E864CA"/>
    <w:rsid w:val="00E9173B"/>
    <w:rsid w:val="00E960B0"/>
    <w:rsid w:val="00EA7D71"/>
    <w:rsid w:val="00EA7E95"/>
    <w:rsid w:val="00EB10C7"/>
    <w:rsid w:val="00EB3A13"/>
    <w:rsid w:val="00EB3CBA"/>
    <w:rsid w:val="00EB3DBD"/>
    <w:rsid w:val="00EB6814"/>
    <w:rsid w:val="00EC13FA"/>
    <w:rsid w:val="00EC6440"/>
    <w:rsid w:val="00ED1818"/>
    <w:rsid w:val="00ED5588"/>
    <w:rsid w:val="00ED6B52"/>
    <w:rsid w:val="00ED6FF3"/>
    <w:rsid w:val="00EE53ED"/>
    <w:rsid w:val="00EF1ADA"/>
    <w:rsid w:val="00EF68DE"/>
    <w:rsid w:val="00F0372C"/>
    <w:rsid w:val="00F03F23"/>
    <w:rsid w:val="00F066E0"/>
    <w:rsid w:val="00F101E7"/>
    <w:rsid w:val="00F10C8F"/>
    <w:rsid w:val="00F40017"/>
    <w:rsid w:val="00F563AF"/>
    <w:rsid w:val="00F7334A"/>
    <w:rsid w:val="00F83FCA"/>
    <w:rsid w:val="00F9246B"/>
    <w:rsid w:val="00F95B3B"/>
    <w:rsid w:val="00F97911"/>
    <w:rsid w:val="00FA04A0"/>
    <w:rsid w:val="00FA5B5C"/>
    <w:rsid w:val="00FB5E02"/>
    <w:rsid w:val="00FC2044"/>
    <w:rsid w:val="00FD024B"/>
    <w:rsid w:val="00FD0F9D"/>
    <w:rsid w:val="00FD735A"/>
    <w:rsid w:val="00FE0D3A"/>
    <w:rsid w:val="00FE2289"/>
    <w:rsid w:val="00FE4E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826"/>
    <w:rPr>
      <w:sz w:val="24"/>
      <w:szCs w:val="24"/>
      <w:lang w:val="en-US" w:eastAsia="en-US"/>
    </w:rPr>
  </w:style>
  <w:style w:type="paragraph" w:styleId="Ttulo1">
    <w:name w:val="heading 1"/>
    <w:basedOn w:val="Normal"/>
    <w:next w:val="Normal"/>
    <w:qFormat/>
    <w:rsid w:val="008B7486"/>
    <w:pPr>
      <w:keepNext/>
      <w:jc w:val="both"/>
      <w:outlineLvl w:val="0"/>
    </w:pPr>
    <w:rPr>
      <w:b/>
      <w:bCs/>
      <w:u w:val="single"/>
      <w:lang w:val="es-ES"/>
    </w:rPr>
  </w:style>
  <w:style w:type="paragraph" w:styleId="Ttulo2">
    <w:name w:val="heading 2"/>
    <w:basedOn w:val="Normal"/>
    <w:next w:val="Normal"/>
    <w:qFormat/>
    <w:rsid w:val="008B7486"/>
    <w:pPr>
      <w:keepNext/>
      <w:ind w:left="180"/>
      <w:jc w:val="center"/>
      <w:outlineLvl w:val="1"/>
    </w:pPr>
    <w:rPr>
      <w:b/>
      <w:bCs/>
      <w:szCs w:val="27"/>
      <w:lang w:val="es-ES"/>
    </w:rPr>
  </w:style>
  <w:style w:type="paragraph" w:styleId="Ttulo3">
    <w:name w:val="heading 3"/>
    <w:basedOn w:val="Normal"/>
    <w:next w:val="Normal"/>
    <w:qFormat/>
    <w:rsid w:val="008B7486"/>
    <w:pPr>
      <w:keepNext/>
      <w:outlineLvl w:val="2"/>
    </w:pPr>
    <w:rPr>
      <w:b/>
      <w:bCs/>
      <w:lang w:val="es-ES"/>
    </w:rPr>
  </w:style>
  <w:style w:type="paragraph" w:styleId="Ttulo4">
    <w:name w:val="heading 4"/>
    <w:basedOn w:val="Normal"/>
    <w:next w:val="Normal"/>
    <w:qFormat/>
    <w:rsid w:val="008B7486"/>
    <w:pPr>
      <w:keepNext/>
      <w:jc w:val="center"/>
      <w:outlineLvl w:val="3"/>
    </w:pPr>
    <w:rPr>
      <w:b/>
      <w:bCs/>
      <w:sz w:val="22"/>
      <w:lang w:val="es-ES"/>
    </w:rPr>
  </w:style>
  <w:style w:type="paragraph" w:styleId="Ttulo5">
    <w:name w:val="heading 5"/>
    <w:basedOn w:val="Normal"/>
    <w:next w:val="Normal"/>
    <w:qFormat/>
    <w:rsid w:val="008B7486"/>
    <w:pPr>
      <w:spacing w:before="240" w:after="60"/>
      <w:outlineLvl w:val="4"/>
    </w:pPr>
    <w:rPr>
      <w:b/>
      <w:bCs/>
      <w:i/>
      <w:iCs/>
      <w:sz w:val="26"/>
      <w:szCs w:val="26"/>
    </w:rPr>
  </w:style>
  <w:style w:type="paragraph" w:styleId="Ttulo8">
    <w:name w:val="heading 8"/>
    <w:basedOn w:val="Normal"/>
    <w:next w:val="Normal"/>
    <w:qFormat/>
    <w:rsid w:val="009215FE"/>
    <w:pPr>
      <w:spacing w:before="240" w:after="60"/>
      <w:outlineLvl w:val="7"/>
    </w:pPr>
    <w:rPr>
      <w:i/>
      <w:iCs/>
    </w:rPr>
  </w:style>
  <w:style w:type="paragraph" w:styleId="Ttulo9">
    <w:name w:val="heading 9"/>
    <w:basedOn w:val="Normal"/>
    <w:next w:val="Normal"/>
    <w:qFormat/>
    <w:rsid w:val="009215F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B7486"/>
    <w:rPr>
      <w:b/>
      <w:bCs/>
      <w:lang w:val="es-ES"/>
    </w:rPr>
  </w:style>
  <w:style w:type="paragraph" w:styleId="Encabezado">
    <w:name w:val="header"/>
    <w:basedOn w:val="Normal"/>
    <w:rsid w:val="008B7486"/>
    <w:pPr>
      <w:tabs>
        <w:tab w:val="center" w:pos="4153"/>
        <w:tab w:val="right" w:pos="8306"/>
      </w:tabs>
    </w:pPr>
  </w:style>
  <w:style w:type="character" w:styleId="Nmerodepgina">
    <w:name w:val="page number"/>
    <w:basedOn w:val="Fuentedeprrafopredeter"/>
    <w:rsid w:val="008B7486"/>
  </w:style>
  <w:style w:type="paragraph" w:styleId="Piedepgina">
    <w:name w:val="footer"/>
    <w:basedOn w:val="Normal"/>
    <w:link w:val="PiedepginaCar"/>
    <w:uiPriority w:val="99"/>
    <w:rsid w:val="008B7486"/>
    <w:pPr>
      <w:tabs>
        <w:tab w:val="center" w:pos="4153"/>
        <w:tab w:val="right" w:pos="8306"/>
      </w:tabs>
    </w:pPr>
  </w:style>
  <w:style w:type="paragraph" w:styleId="z-Principiodelformulario">
    <w:name w:val="HTML Top of Form"/>
    <w:basedOn w:val="Normal"/>
    <w:next w:val="Normal"/>
    <w:hidden/>
    <w:rsid w:val="008B7486"/>
    <w:pPr>
      <w:pBdr>
        <w:bottom w:val="single" w:sz="6" w:space="1" w:color="auto"/>
      </w:pBdr>
      <w:jc w:val="center"/>
    </w:pPr>
    <w:rPr>
      <w:rFonts w:ascii="Arial" w:hAnsi="Arial" w:cs="Arial"/>
      <w:vanish/>
      <w:color w:val="000000"/>
      <w:sz w:val="16"/>
      <w:szCs w:val="16"/>
    </w:rPr>
  </w:style>
  <w:style w:type="paragraph" w:styleId="z-Finaldelformulario">
    <w:name w:val="HTML Bottom of Form"/>
    <w:basedOn w:val="Normal"/>
    <w:next w:val="Normal"/>
    <w:hidden/>
    <w:rsid w:val="008B7486"/>
    <w:pPr>
      <w:pBdr>
        <w:top w:val="single" w:sz="6" w:space="1" w:color="auto"/>
      </w:pBdr>
      <w:jc w:val="center"/>
    </w:pPr>
    <w:rPr>
      <w:rFonts w:ascii="Arial" w:hAnsi="Arial" w:cs="Arial"/>
      <w:vanish/>
      <w:color w:val="000000"/>
      <w:sz w:val="16"/>
      <w:szCs w:val="16"/>
    </w:rPr>
  </w:style>
  <w:style w:type="paragraph" w:styleId="Textoindependiente2">
    <w:name w:val="Body Text 2"/>
    <w:basedOn w:val="Normal"/>
    <w:rsid w:val="008B7486"/>
    <w:pPr>
      <w:jc w:val="both"/>
    </w:pPr>
    <w:rPr>
      <w:b/>
      <w:bCs/>
      <w:lang w:val="es-ES"/>
    </w:rPr>
  </w:style>
  <w:style w:type="paragraph" w:styleId="Sangradetextonormal">
    <w:name w:val="Body Text Indent"/>
    <w:basedOn w:val="Normal"/>
    <w:rsid w:val="008B7486"/>
    <w:pPr>
      <w:ind w:left="360"/>
      <w:jc w:val="both"/>
    </w:pPr>
    <w:rPr>
      <w:szCs w:val="27"/>
      <w:lang w:val="es-ES"/>
    </w:rPr>
  </w:style>
  <w:style w:type="paragraph" w:styleId="Textoindependiente3">
    <w:name w:val="Body Text 3"/>
    <w:basedOn w:val="Normal"/>
    <w:rsid w:val="008B7486"/>
    <w:pPr>
      <w:jc w:val="both"/>
    </w:pPr>
    <w:rPr>
      <w:szCs w:val="27"/>
      <w:lang w:val="es-ES"/>
    </w:rPr>
  </w:style>
  <w:style w:type="paragraph" w:customStyle="1" w:styleId="MemoDate">
    <w:name w:val="Memo_Date"/>
    <w:basedOn w:val="Normal"/>
    <w:rsid w:val="008B7486"/>
    <w:pPr>
      <w:spacing w:before="60" w:after="60" w:line="260" w:lineRule="exact"/>
      <w:jc w:val="both"/>
    </w:pPr>
    <w:rPr>
      <w:sz w:val="22"/>
      <w:szCs w:val="20"/>
      <w:lang w:val="es-ES"/>
    </w:rPr>
  </w:style>
  <w:style w:type="paragraph" w:customStyle="1" w:styleId="MemoFrom">
    <w:name w:val="Memo_From"/>
    <w:basedOn w:val="MemoDate"/>
    <w:rsid w:val="008B7486"/>
  </w:style>
  <w:style w:type="paragraph" w:customStyle="1" w:styleId="MemoSubject">
    <w:name w:val="Memo_Subject"/>
    <w:basedOn w:val="MemoDate"/>
    <w:rsid w:val="008B7486"/>
  </w:style>
  <w:style w:type="paragraph" w:customStyle="1" w:styleId="MemoTo">
    <w:name w:val="Memo_To"/>
    <w:basedOn w:val="MemoDate"/>
    <w:rsid w:val="008B7486"/>
  </w:style>
  <w:style w:type="paragraph" w:customStyle="1" w:styleId="MemoLabel">
    <w:name w:val="Memo_Label"/>
    <w:basedOn w:val="MemoDate"/>
    <w:rsid w:val="008B7486"/>
    <w:rPr>
      <w:rFonts w:ascii="Arial" w:hAnsi="Arial"/>
      <w:sz w:val="18"/>
    </w:rPr>
  </w:style>
  <w:style w:type="paragraph" w:customStyle="1" w:styleId="TableHeader">
    <w:name w:val="Table Header"/>
    <w:basedOn w:val="Ttulo1"/>
    <w:rsid w:val="008B7486"/>
    <w:pPr>
      <w:spacing w:before="90" w:line="180" w:lineRule="exact"/>
      <w:jc w:val="left"/>
    </w:pPr>
    <w:rPr>
      <w:rFonts w:ascii="Arial" w:hAnsi="Arial"/>
      <w:b w:val="0"/>
      <w:bCs w:val="0"/>
      <w:sz w:val="16"/>
      <w:szCs w:val="20"/>
      <w:u w:val="none"/>
      <w:lang w:val="en-US"/>
    </w:rPr>
  </w:style>
  <w:style w:type="paragraph" w:customStyle="1" w:styleId="ABLOCKPARA">
    <w:name w:val="A BLOCK PARA"/>
    <w:basedOn w:val="Normal"/>
    <w:rsid w:val="008B7486"/>
    <w:pPr>
      <w:jc w:val="both"/>
    </w:pPr>
    <w:rPr>
      <w:rFonts w:ascii="Book Antiqua" w:hAnsi="Book Antiqua"/>
      <w:sz w:val="22"/>
      <w:szCs w:val="20"/>
      <w:lang w:val="es-ES_tradnl"/>
    </w:rPr>
  </w:style>
  <w:style w:type="paragraph" w:styleId="Textodeglobo">
    <w:name w:val="Balloon Text"/>
    <w:basedOn w:val="Normal"/>
    <w:semiHidden/>
    <w:rsid w:val="008B7486"/>
    <w:rPr>
      <w:rFonts w:ascii="Tahoma" w:hAnsi="Tahoma" w:cs="Tahoma"/>
      <w:sz w:val="16"/>
      <w:szCs w:val="16"/>
    </w:rPr>
  </w:style>
  <w:style w:type="table" w:styleId="Tablaconcuadrcula">
    <w:name w:val="Table Grid"/>
    <w:basedOn w:val="Tablanormal"/>
    <w:rsid w:val="002C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C46F68"/>
    <w:rPr>
      <w:sz w:val="16"/>
      <w:szCs w:val="16"/>
    </w:rPr>
  </w:style>
  <w:style w:type="paragraph" w:styleId="Textocomentario">
    <w:name w:val="annotation text"/>
    <w:basedOn w:val="Normal"/>
    <w:semiHidden/>
    <w:rsid w:val="00C46F68"/>
    <w:rPr>
      <w:sz w:val="20"/>
      <w:szCs w:val="20"/>
    </w:rPr>
  </w:style>
  <w:style w:type="paragraph" w:styleId="Asuntodelcomentario">
    <w:name w:val="annotation subject"/>
    <w:basedOn w:val="Textocomentario"/>
    <w:next w:val="Textocomentario"/>
    <w:semiHidden/>
    <w:rsid w:val="00C46F68"/>
    <w:rPr>
      <w:b/>
      <w:bCs/>
    </w:rPr>
  </w:style>
  <w:style w:type="paragraph" w:customStyle="1" w:styleId="tn">
    <w:name w:val="t n"/>
    <w:basedOn w:val="Normal"/>
    <w:rsid w:val="00EB6814"/>
    <w:pPr>
      <w:widowControl w:val="0"/>
      <w:overflowPunct w:val="0"/>
      <w:autoSpaceDE w:val="0"/>
      <w:autoSpaceDN w:val="0"/>
      <w:adjustRightInd w:val="0"/>
      <w:spacing w:before="240"/>
      <w:ind w:left="680" w:hanging="680"/>
      <w:jc w:val="both"/>
      <w:textAlignment w:val="baseline"/>
    </w:pPr>
    <w:rPr>
      <w:sz w:val="22"/>
      <w:szCs w:val="20"/>
      <w:lang w:val="es-ES_tradnl"/>
    </w:rPr>
  </w:style>
  <w:style w:type="paragraph" w:styleId="Textonotapie">
    <w:name w:val="footnote text"/>
    <w:basedOn w:val="Normal"/>
    <w:semiHidden/>
    <w:rsid w:val="00233BDE"/>
    <w:rPr>
      <w:sz w:val="20"/>
      <w:szCs w:val="20"/>
    </w:rPr>
  </w:style>
  <w:style w:type="character" w:styleId="Refdenotaalpie">
    <w:name w:val="footnote reference"/>
    <w:semiHidden/>
    <w:rsid w:val="00233BDE"/>
    <w:rPr>
      <w:vertAlign w:val="superscript"/>
    </w:rPr>
  </w:style>
  <w:style w:type="table" w:customStyle="1" w:styleId="TableStyle1">
    <w:name w:val="Table Style1"/>
    <w:basedOn w:val="Tablaconcuadrcula"/>
    <w:rsid w:val="00C81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9215FE"/>
    <w:pPr>
      <w:spacing w:after="120"/>
      <w:ind w:left="283"/>
    </w:pPr>
    <w:rPr>
      <w:sz w:val="16"/>
      <w:szCs w:val="16"/>
    </w:rPr>
  </w:style>
  <w:style w:type="paragraph" w:customStyle="1" w:styleId="Default">
    <w:name w:val="Default"/>
    <w:rsid w:val="00EE53ED"/>
    <w:pPr>
      <w:autoSpaceDE w:val="0"/>
      <w:autoSpaceDN w:val="0"/>
      <w:adjustRightInd w:val="0"/>
    </w:pPr>
    <w:rPr>
      <w:rFonts w:ascii="FEEEEI+Garamond" w:hAnsi="FEEEEI+Garamond" w:cs="FEEEEI+Garamond"/>
      <w:color w:val="000000"/>
      <w:sz w:val="24"/>
      <w:szCs w:val="24"/>
      <w:lang w:val="en-US" w:eastAsia="en-US"/>
    </w:rPr>
  </w:style>
  <w:style w:type="paragraph" w:styleId="Tabladeilustraciones">
    <w:name w:val="table of figures"/>
    <w:basedOn w:val="Normal"/>
    <w:next w:val="Normal"/>
    <w:semiHidden/>
    <w:rsid w:val="00387BF6"/>
  </w:style>
  <w:style w:type="paragraph" w:customStyle="1" w:styleId="Body">
    <w:name w:val="Body"/>
    <w:basedOn w:val="Normal"/>
    <w:link w:val="BodyCar"/>
    <w:rsid w:val="009516E8"/>
    <w:pPr>
      <w:overflowPunct w:val="0"/>
      <w:autoSpaceDE w:val="0"/>
      <w:autoSpaceDN w:val="0"/>
      <w:adjustRightInd w:val="0"/>
      <w:spacing w:after="130" w:line="260" w:lineRule="exact"/>
      <w:jc w:val="both"/>
      <w:textAlignment w:val="baseline"/>
    </w:pPr>
    <w:rPr>
      <w:color w:val="000000"/>
      <w:sz w:val="22"/>
      <w:szCs w:val="20"/>
      <w:lang w:val="es-ES_tradnl"/>
    </w:rPr>
  </w:style>
  <w:style w:type="character" w:customStyle="1" w:styleId="BodyCar">
    <w:name w:val="Body Car"/>
    <w:link w:val="Body"/>
    <w:rsid w:val="009516E8"/>
    <w:rPr>
      <w:color w:val="000000"/>
      <w:sz w:val="22"/>
      <w:lang w:val="es-ES_tradnl" w:eastAsia="en-US" w:bidi="ar-SA"/>
    </w:rPr>
  </w:style>
  <w:style w:type="paragraph" w:customStyle="1" w:styleId="Portada">
    <w:name w:val="Portada"/>
    <w:basedOn w:val="Normal"/>
    <w:rsid w:val="007A616F"/>
    <w:pPr>
      <w:spacing w:after="240"/>
    </w:pPr>
    <w:rPr>
      <w:rFonts w:ascii="Arial" w:hAnsi="Arial" w:cs="Arial"/>
      <w:sz w:val="28"/>
      <w:szCs w:val="20"/>
      <w:lang w:val="es-ES"/>
    </w:rPr>
  </w:style>
  <w:style w:type="paragraph" w:styleId="Prrafodelista">
    <w:name w:val="List Paragraph"/>
    <w:basedOn w:val="Normal"/>
    <w:uiPriority w:val="34"/>
    <w:qFormat/>
    <w:rsid w:val="007849BE"/>
    <w:pPr>
      <w:spacing w:after="200" w:line="276" w:lineRule="auto"/>
      <w:ind w:left="720"/>
      <w:contextualSpacing/>
    </w:pPr>
    <w:rPr>
      <w:rFonts w:ascii="Calibri" w:hAnsi="Calibri"/>
      <w:sz w:val="22"/>
      <w:szCs w:val="22"/>
      <w:lang w:val="es-ES" w:eastAsia="es-ES"/>
    </w:rPr>
  </w:style>
  <w:style w:type="paragraph" w:customStyle="1" w:styleId="Carta">
    <w:name w:val="Carta"/>
    <w:basedOn w:val="Normal"/>
    <w:rsid w:val="009563EA"/>
    <w:pPr>
      <w:spacing w:after="240"/>
      <w:jc w:val="both"/>
    </w:pPr>
    <w:rPr>
      <w:sz w:val="22"/>
      <w:szCs w:val="20"/>
      <w:lang w:val="es-ES"/>
    </w:rPr>
  </w:style>
  <w:style w:type="paragraph" w:customStyle="1" w:styleId="ListUnoCarta">
    <w:name w:val="ListUnoCarta"/>
    <w:basedOn w:val="Carta"/>
    <w:rsid w:val="006619B7"/>
    <w:pPr>
      <w:ind w:left="284" w:hanging="284"/>
      <w:jc w:val="left"/>
    </w:pPr>
    <w:rPr>
      <w:noProof/>
    </w:rPr>
  </w:style>
  <w:style w:type="paragraph" w:styleId="NormalWeb">
    <w:name w:val="Normal (Web)"/>
    <w:basedOn w:val="Normal"/>
    <w:unhideWhenUsed/>
    <w:rsid w:val="006619B7"/>
    <w:pPr>
      <w:spacing w:before="100" w:beforeAutospacing="1" w:after="100" w:afterAutospacing="1"/>
      <w:jc w:val="both"/>
    </w:pPr>
    <w:rPr>
      <w:rFonts w:ascii="Verdana" w:hAnsi="Verdana"/>
      <w:sz w:val="14"/>
      <w:szCs w:val="14"/>
      <w:lang w:val="es-ES" w:eastAsia="es-ES"/>
    </w:rPr>
  </w:style>
  <w:style w:type="paragraph" w:customStyle="1" w:styleId="textonormal">
    <w:name w:val="texto normal"/>
    <w:basedOn w:val="Normal"/>
    <w:rsid w:val="006619B7"/>
    <w:pPr>
      <w:widowControl w:val="0"/>
      <w:spacing w:after="240"/>
      <w:ind w:left="567"/>
      <w:jc w:val="both"/>
    </w:pPr>
    <w:rPr>
      <w:rFonts w:ascii="Book Antiqua" w:hAnsi="Book Antiqua"/>
      <w:sz w:val="22"/>
      <w:szCs w:val="20"/>
      <w:lang w:val="es-ES_tradnl" w:eastAsia="es-ES"/>
    </w:rPr>
  </w:style>
  <w:style w:type="paragraph" w:customStyle="1" w:styleId="textoletra">
    <w:name w:val="texto letra"/>
    <w:basedOn w:val="textonormal"/>
    <w:rsid w:val="006619B7"/>
    <w:pPr>
      <w:ind w:left="907"/>
    </w:pPr>
  </w:style>
  <w:style w:type="paragraph" w:customStyle="1" w:styleId="ttuloguinletra">
    <w:name w:val="título guión letra"/>
    <w:basedOn w:val="Normal"/>
    <w:next w:val="textoletra"/>
    <w:rsid w:val="006619B7"/>
    <w:pPr>
      <w:keepNext/>
      <w:keepLines/>
      <w:widowControl w:val="0"/>
      <w:tabs>
        <w:tab w:val="left" w:pos="119"/>
      </w:tabs>
      <w:spacing w:after="240"/>
      <w:ind w:left="907" w:right="3963"/>
    </w:pPr>
    <w:rPr>
      <w:rFonts w:ascii="Book Antiqua" w:hAnsi="Book Antiqua"/>
      <w:i/>
      <w:sz w:val="22"/>
      <w:szCs w:val="20"/>
      <w:lang w:val="es-ES_tradnl" w:eastAsia="es-ES"/>
    </w:rPr>
  </w:style>
  <w:style w:type="paragraph" w:customStyle="1" w:styleId="prrafoH">
    <w:name w:val="párrafo H"/>
    <w:basedOn w:val="textonormal"/>
    <w:rsid w:val="006619B7"/>
    <w:pPr>
      <w:ind w:left="907" w:hanging="340"/>
    </w:pPr>
  </w:style>
  <w:style w:type="paragraph" w:customStyle="1" w:styleId="2espacios">
    <w:name w:val="2 espacios"/>
    <w:basedOn w:val="Normal"/>
    <w:rsid w:val="006619B7"/>
    <w:pPr>
      <w:spacing w:before="400"/>
      <w:jc w:val="both"/>
    </w:pPr>
    <w:rPr>
      <w:szCs w:val="20"/>
      <w:lang w:val="es-ES_tradnl"/>
    </w:rPr>
  </w:style>
  <w:style w:type="paragraph" w:customStyle="1" w:styleId="prrafoI">
    <w:name w:val="párrafo I"/>
    <w:basedOn w:val="textoletra"/>
    <w:rsid w:val="006619B7"/>
    <w:pPr>
      <w:ind w:left="1247" w:hanging="340"/>
    </w:pPr>
  </w:style>
  <w:style w:type="paragraph" w:customStyle="1" w:styleId="lugar2">
    <w:name w:val="lugar2"/>
    <w:basedOn w:val="Normal"/>
    <w:rsid w:val="008A3E54"/>
    <w:pPr>
      <w:spacing w:before="100" w:beforeAutospacing="1" w:line="240" w:lineRule="atLeast"/>
      <w:jc w:val="both"/>
    </w:pPr>
    <w:rPr>
      <w:rFonts w:ascii="Arial Narrow" w:hAnsi="Arial Narrow"/>
      <w:color w:val="000000"/>
      <w:sz w:val="26"/>
      <w:szCs w:val="26"/>
      <w:lang w:val="es-ES" w:eastAsia="es-ES"/>
    </w:rPr>
  </w:style>
  <w:style w:type="paragraph" w:customStyle="1" w:styleId="direccion2">
    <w:name w:val="direccion2"/>
    <w:basedOn w:val="Normal"/>
    <w:rsid w:val="008A3E54"/>
    <w:pPr>
      <w:spacing w:before="100" w:beforeAutospacing="1" w:line="240" w:lineRule="atLeast"/>
      <w:jc w:val="both"/>
    </w:pPr>
    <w:rPr>
      <w:rFonts w:ascii="Arial Narrow" w:hAnsi="Arial Narrow"/>
      <w:color w:val="000000"/>
      <w:sz w:val="26"/>
      <w:szCs w:val="26"/>
      <w:lang w:val="es-ES" w:eastAsia="es-ES"/>
    </w:rPr>
  </w:style>
  <w:style w:type="paragraph" w:customStyle="1" w:styleId="CartaDos">
    <w:name w:val="CartaDos"/>
    <w:basedOn w:val="Normal"/>
    <w:rsid w:val="00003DC0"/>
    <w:rPr>
      <w:noProof/>
      <w:sz w:val="22"/>
      <w:szCs w:val="20"/>
      <w:lang w:val="es-ES"/>
    </w:rPr>
  </w:style>
  <w:style w:type="character" w:customStyle="1" w:styleId="PiedepginaCar">
    <w:name w:val="Pie de página Car"/>
    <w:link w:val="Piedepgina"/>
    <w:uiPriority w:val="99"/>
    <w:rsid w:val="0078184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826"/>
    <w:rPr>
      <w:sz w:val="24"/>
      <w:szCs w:val="24"/>
      <w:lang w:val="en-US" w:eastAsia="en-US"/>
    </w:rPr>
  </w:style>
  <w:style w:type="paragraph" w:styleId="Heading1">
    <w:name w:val="heading 1"/>
    <w:basedOn w:val="Normal"/>
    <w:next w:val="Normal"/>
    <w:qFormat/>
    <w:rsid w:val="008B7486"/>
    <w:pPr>
      <w:keepNext/>
      <w:jc w:val="both"/>
      <w:outlineLvl w:val="0"/>
    </w:pPr>
    <w:rPr>
      <w:b/>
      <w:bCs/>
      <w:u w:val="single"/>
      <w:lang w:val="es-ES"/>
    </w:rPr>
  </w:style>
  <w:style w:type="paragraph" w:styleId="Heading2">
    <w:name w:val="heading 2"/>
    <w:basedOn w:val="Normal"/>
    <w:next w:val="Normal"/>
    <w:qFormat/>
    <w:rsid w:val="008B7486"/>
    <w:pPr>
      <w:keepNext/>
      <w:ind w:left="180"/>
      <w:jc w:val="center"/>
      <w:outlineLvl w:val="1"/>
    </w:pPr>
    <w:rPr>
      <w:b/>
      <w:bCs/>
      <w:szCs w:val="27"/>
      <w:lang w:val="es-ES"/>
    </w:rPr>
  </w:style>
  <w:style w:type="paragraph" w:styleId="Heading3">
    <w:name w:val="heading 3"/>
    <w:basedOn w:val="Normal"/>
    <w:next w:val="Normal"/>
    <w:qFormat/>
    <w:rsid w:val="008B7486"/>
    <w:pPr>
      <w:keepNext/>
      <w:outlineLvl w:val="2"/>
    </w:pPr>
    <w:rPr>
      <w:b/>
      <w:bCs/>
      <w:lang w:val="es-ES"/>
    </w:rPr>
  </w:style>
  <w:style w:type="paragraph" w:styleId="Heading4">
    <w:name w:val="heading 4"/>
    <w:basedOn w:val="Normal"/>
    <w:next w:val="Normal"/>
    <w:qFormat/>
    <w:rsid w:val="008B7486"/>
    <w:pPr>
      <w:keepNext/>
      <w:jc w:val="center"/>
      <w:outlineLvl w:val="3"/>
    </w:pPr>
    <w:rPr>
      <w:b/>
      <w:bCs/>
      <w:sz w:val="22"/>
      <w:lang w:val="es-ES"/>
    </w:rPr>
  </w:style>
  <w:style w:type="paragraph" w:styleId="Heading5">
    <w:name w:val="heading 5"/>
    <w:basedOn w:val="Normal"/>
    <w:next w:val="Normal"/>
    <w:qFormat/>
    <w:rsid w:val="008B7486"/>
    <w:pPr>
      <w:spacing w:before="240" w:after="60"/>
      <w:outlineLvl w:val="4"/>
    </w:pPr>
    <w:rPr>
      <w:b/>
      <w:bCs/>
      <w:i/>
      <w:iCs/>
      <w:sz w:val="26"/>
      <w:szCs w:val="26"/>
    </w:rPr>
  </w:style>
  <w:style w:type="paragraph" w:styleId="Heading8">
    <w:name w:val="heading 8"/>
    <w:basedOn w:val="Normal"/>
    <w:next w:val="Normal"/>
    <w:qFormat/>
    <w:rsid w:val="009215FE"/>
    <w:pPr>
      <w:spacing w:before="240" w:after="60"/>
      <w:outlineLvl w:val="7"/>
    </w:pPr>
    <w:rPr>
      <w:i/>
      <w:iCs/>
    </w:rPr>
  </w:style>
  <w:style w:type="paragraph" w:styleId="Heading9">
    <w:name w:val="heading 9"/>
    <w:basedOn w:val="Normal"/>
    <w:next w:val="Normal"/>
    <w:qFormat/>
    <w:rsid w:val="009215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7486"/>
    <w:rPr>
      <w:b/>
      <w:bCs/>
      <w:lang w:val="es-ES"/>
    </w:rPr>
  </w:style>
  <w:style w:type="paragraph" w:styleId="Header">
    <w:name w:val="header"/>
    <w:basedOn w:val="Normal"/>
    <w:rsid w:val="008B7486"/>
    <w:pPr>
      <w:tabs>
        <w:tab w:val="center" w:pos="4153"/>
        <w:tab w:val="right" w:pos="8306"/>
      </w:tabs>
    </w:pPr>
  </w:style>
  <w:style w:type="character" w:styleId="PageNumber">
    <w:name w:val="page number"/>
    <w:basedOn w:val="DefaultParagraphFont"/>
    <w:rsid w:val="008B7486"/>
  </w:style>
  <w:style w:type="paragraph" w:styleId="Footer">
    <w:name w:val="footer"/>
    <w:basedOn w:val="Normal"/>
    <w:link w:val="FooterChar"/>
    <w:uiPriority w:val="99"/>
    <w:rsid w:val="008B7486"/>
    <w:pPr>
      <w:tabs>
        <w:tab w:val="center" w:pos="4153"/>
        <w:tab w:val="right" w:pos="8306"/>
      </w:tabs>
    </w:pPr>
  </w:style>
  <w:style w:type="paragraph" w:styleId="z-TopofForm">
    <w:name w:val="HTML Top of Form"/>
    <w:basedOn w:val="Normal"/>
    <w:next w:val="Normal"/>
    <w:hidden/>
    <w:rsid w:val="008B7486"/>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8B7486"/>
    <w:pPr>
      <w:pBdr>
        <w:top w:val="single" w:sz="6" w:space="1" w:color="auto"/>
      </w:pBdr>
      <w:jc w:val="center"/>
    </w:pPr>
    <w:rPr>
      <w:rFonts w:ascii="Arial" w:hAnsi="Arial" w:cs="Arial"/>
      <w:vanish/>
      <w:color w:val="000000"/>
      <w:sz w:val="16"/>
      <w:szCs w:val="16"/>
    </w:rPr>
  </w:style>
  <w:style w:type="paragraph" w:styleId="BodyText2">
    <w:name w:val="Body Text 2"/>
    <w:basedOn w:val="Normal"/>
    <w:rsid w:val="008B7486"/>
    <w:pPr>
      <w:jc w:val="both"/>
    </w:pPr>
    <w:rPr>
      <w:b/>
      <w:bCs/>
      <w:lang w:val="es-ES"/>
    </w:rPr>
  </w:style>
  <w:style w:type="paragraph" w:styleId="BodyTextIndent">
    <w:name w:val="Body Text Indent"/>
    <w:basedOn w:val="Normal"/>
    <w:rsid w:val="008B7486"/>
    <w:pPr>
      <w:ind w:left="360"/>
      <w:jc w:val="both"/>
    </w:pPr>
    <w:rPr>
      <w:szCs w:val="27"/>
      <w:lang w:val="es-ES"/>
    </w:rPr>
  </w:style>
  <w:style w:type="paragraph" w:styleId="BodyText3">
    <w:name w:val="Body Text 3"/>
    <w:basedOn w:val="Normal"/>
    <w:rsid w:val="008B7486"/>
    <w:pPr>
      <w:jc w:val="both"/>
    </w:pPr>
    <w:rPr>
      <w:szCs w:val="27"/>
      <w:lang w:val="es-ES"/>
    </w:rPr>
  </w:style>
  <w:style w:type="paragraph" w:customStyle="1" w:styleId="MemoDate">
    <w:name w:val="Memo_Date"/>
    <w:basedOn w:val="Normal"/>
    <w:rsid w:val="008B7486"/>
    <w:pPr>
      <w:spacing w:before="60" w:after="60" w:line="260" w:lineRule="exact"/>
      <w:jc w:val="both"/>
    </w:pPr>
    <w:rPr>
      <w:sz w:val="22"/>
      <w:szCs w:val="20"/>
      <w:lang w:val="es-ES"/>
    </w:rPr>
  </w:style>
  <w:style w:type="paragraph" w:customStyle="1" w:styleId="MemoFrom">
    <w:name w:val="Memo_From"/>
    <w:basedOn w:val="MemoDate"/>
    <w:rsid w:val="008B7486"/>
  </w:style>
  <w:style w:type="paragraph" w:customStyle="1" w:styleId="MemoSubject">
    <w:name w:val="Memo_Subject"/>
    <w:basedOn w:val="MemoDate"/>
    <w:rsid w:val="008B7486"/>
  </w:style>
  <w:style w:type="paragraph" w:customStyle="1" w:styleId="MemoTo">
    <w:name w:val="Memo_To"/>
    <w:basedOn w:val="MemoDate"/>
    <w:rsid w:val="008B7486"/>
  </w:style>
  <w:style w:type="paragraph" w:customStyle="1" w:styleId="MemoLabel">
    <w:name w:val="Memo_Label"/>
    <w:basedOn w:val="MemoDate"/>
    <w:rsid w:val="008B7486"/>
    <w:rPr>
      <w:rFonts w:ascii="Arial" w:hAnsi="Arial"/>
      <w:sz w:val="18"/>
    </w:rPr>
  </w:style>
  <w:style w:type="paragraph" w:customStyle="1" w:styleId="TableHeader">
    <w:name w:val="Table Header"/>
    <w:basedOn w:val="Heading1"/>
    <w:rsid w:val="008B7486"/>
    <w:pPr>
      <w:spacing w:before="90" w:line="180" w:lineRule="exact"/>
      <w:jc w:val="left"/>
    </w:pPr>
    <w:rPr>
      <w:rFonts w:ascii="Arial" w:hAnsi="Arial"/>
      <w:b w:val="0"/>
      <w:bCs w:val="0"/>
      <w:sz w:val="16"/>
      <w:szCs w:val="20"/>
      <w:u w:val="none"/>
      <w:lang w:val="en-US"/>
    </w:rPr>
  </w:style>
  <w:style w:type="paragraph" w:customStyle="1" w:styleId="ABLOCKPARA">
    <w:name w:val="A BLOCK PARA"/>
    <w:basedOn w:val="Normal"/>
    <w:rsid w:val="008B7486"/>
    <w:pPr>
      <w:jc w:val="both"/>
    </w:pPr>
    <w:rPr>
      <w:rFonts w:ascii="Book Antiqua" w:hAnsi="Book Antiqua"/>
      <w:sz w:val="22"/>
      <w:szCs w:val="20"/>
      <w:lang w:val="es-ES_tradnl"/>
    </w:rPr>
  </w:style>
  <w:style w:type="paragraph" w:styleId="BalloonText">
    <w:name w:val="Balloon Text"/>
    <w:basedOn w:val="Normal"/>
    <w:semiHidden/>
    <w:rsid w:val="008B7486"/>
    <w:rPr>
      <w:rFonts w:ascii="Tahoma" w:hAnsi="Tahoma" w:cs="Tahoma"/>
      <w:sz w:val="16"/>
      <w:szCs w:val="16"/>
    </w:rPr>
  </w:style>
  <w:style w:type="table" w:styleId="TableGrid">
    <w:name w:val="Table Grid"/>
    <w:basedOn w:val="TableNormal"/>
    <w:rsid w:val="002C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46F68"/>
    <w:rPr>
      <w:sz w:val="16"/>
      <w:szCs w:val="16"/>
    </w:rPr>
  </w:style>
  <w:style w:type="paragraph" w:styleId="CommentText">
    <w:name w:val="annotation text"/>
    <w:basedOn w:val="Normal"/>
    <w:semiHidden/>
    <w:rsid w:val="00C46F68"/>
    <w:rPr>
      <w:sz w:val="20"/>
      <w:szCs w:val="20"/>
    </w:rPr>
  </w:style>
  <w:style w:type="paragraph" w:styleId="CommentSubject">
    <w:name w:val="annotation subject"/>
    <w:basedOn w:val="CommentText"/>
    <w:next w:val="CommentText"/>
    <w:semiHidden/>
    <w:rsid w:val="00C46F68"/>
    <w:rPr>
      <w:b/>
      <w:bCs/>
    </w:rPr>
  </w:style>
  <w:style w:type="paragraph" w:customStyle="1" w:styleId="tn">
    <w:name w:val="t n"/>
    <w:basedOn w:val="Normal"/>
    <w:rsid w:val="00EB6814"/>
    <w:pPr>
      <w:widowControl w:val="0"/>
      <w:overflowPunct w:val="0"/>
      <w:autoSpaceDE w:val="0"/>
      <w:autoSpaceDN w:val="0"/>
      <w:adjustRightInd w:val="0"/>
      <w:spacing w:before="240"/>
      <w:ind w:left="680" w:hanging="680"/>
      <w:jc w:val="both"/>
      <w:textAlignment w:val="baseline"/>
    </w:pPr>
    <w:rPr>
      <w:sz w:val="22"/>
      <w:szCs w:val="20"/>
      <w:lang w:val="es-ES_tradnl"/>
    </w:rPr>
  </w:style>
  <w:style w:type="paragraph" w:styleId="FootnoteText">
    <w:name w:val="footnote text"/>
    <w:basedOn w:val="Normal"/>
    <w:semiHidden/>
    <w:rsid w:val="00233BDE"/>
    <w:rPr>
      <w:sz w:val="20"/>
      <w:szCs w:val="20"/>
    </w:rPr>
  </w:style>
  <w:style w:type="character" w:styleId="FootnoteReference">
    <w:name w:val="footnote reference"/>
    <w:semiHidden/>
    <w:rsid w:val="00233BDE"/>
    <w:rPr>
      <w:vertAlign w:val="superscript"/>
    </w:rPr>
  </w:style>
  <w:style w:type="table" w:customStyle="1" w:styleId="TableStyle1">
    <w:name w:val="Table Style1"/>
    <w:basedOn w:val="TableGrid"/>
    <w:rsid w:val="00C81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9215FE"/>
    <w:pPr>
      <w:spacing w:after="120"/>
      <w:ind w:left="283"/>
    </w:pPr>
    <w:rPr>
      <w:sz w:val="16"/>
      <w:szCs w:val="16"/>
    </w:rPr>
  </w:style>
  <w:style w:type="paragraph" w:customStyle="1" w:styleId="Default">
    <w:name w:val="Default"/>
    <w:rsid w:val="00EE53ED"/>
    <w:pPr>
      <w:autoSpaceDE w:val="0"/>
      <w:autoSpaceDN w:val="0"/>
      <w:adjustRightInd w:val="0"/>
    </w:pPr>
    <w:rPr>
      <w:rFonts w:ascii="FEEEEI+Garamond" w:hAnsi="FEEEEI+Garamond" w:cs="FEEEEI+Garamond"/>
      <w:color w:val="000000"/>
      <w:sz w:val="24"/>
      <w:szCs w:val="24"/>
      <w:lang w:val="en-US" w:eastAsia="en-US"/>
    </w:rPr>
  </w:style>
  <w:style w:type="paragraph" w:styleId="TableofFigures">
    <w:name w:val="table of figures"/>
    <w:basedOn w:val="Normal"/>
    <w:next w:val="Normal"/>
    <w:semiHidden/>
    <w:rsid w:val="00387BF6"/>
  </w:style>
  <w:style w:type="paragraph" w:customStyle="1" w:styleId="Body">
    <w:name w:val="Body"/>
    <w:basedOn w:val="Normal"/>
    <w:link w:val="BodyCar"/>
    <w:rsid w:val="009516E8"/>
    <w:pPr>
      <w:overflowPunct w:val="0"/>
      <w:autoSpaceDE w:val="0"/>
      <w:autoSpaceDN w:val="0"/>
      <w:adjustRightInd w:val="0"/>
      <w:spacing w:after="130" w:line="260" w:lineRule="exact"/>
      <w:jc w:val="both"/>
      <w:textAlignment w:val="baseline"/>
    </w:pPr>
    <w:rPr>
      <w:color w:val="000000"/>
      <w:sz w:val="22"/>
      <w:szCs w:val="20"/>
      <w:lang w:val="es-ES_tradnl"/>
    </w:rPr>
  </w:style>
  <w:style w:type="character" w:customStyle="1" w:styleId="BodyCar">
    <w:name w:val="Body Car"/>
    <w:link w:val="Body"/>
    <w:rsid w:val="009516E8"/>
    <w:rPr>
      <w:color w:val="000000"/>
      <w:sz w:val="22"/>
      <w:lang w:val="es-ES_tradnl" w:eastAsia="en-US" w:bidi="ar-SA"/>
    </w:rPr>
  </w:style>
  <w:style w:type="paragraph" w:customStyle="1" w:styleId="Portada">
    <w:name w:val="Portada"/>
    <w:basedOn w:val="Normal"/>
    <w:rsid w:val="007A616F"/>
    <w:pPr>
      <w:spacing w:after="240"/>
    </w:pPr>
    <w:rPr>
      <w:rFonts w:ascii="Arial" w:hAnsi="Arial" w:cs="Arial"/>
      <w:sz w:val="28"/>
      <w:szCs w:val="20"/>
      <w:lang w:val="es-ES"/>
    </w:rPr>
  </w:style>
  <w:style w:type="paragraph" w:styleId="ListParagraph">
    <w:name w:val="List Paragraph"/>
    <w:basedOn w:val="Normal"/>
    <w:uiPriority w:val="34"/>
    <w:qFormat/>
    <w:rsid w:val="007849BE"/>
    <w:pPr>
      <w:spacing w:after="200" w:line="276" w:lineRule="auto"/>
      <w:ind w:left="720"/>
      <w:contextualSpacing/>
    </w:pPr>
    <w:rPr>
      <w:rFonts w:ascii="Calibri" w:hAnsi="Calibri"/>
      <w:sz w:val="22"/>
      <w:szCs w:val="22"/>
      <w:lang w:val="es-ES" w:eastAsia="es-ES"/>
    </w:rPr>
  </w:style>
  <w:style w:type="paragraph" w:customStyle="1" w:styleId="Carta">
    <w:name w:val="Carta"/>
    <w:basedOn w:val="Normal"/>
    <w:rsid w:val="009563EA"/>
    <w:pPr>
      <w:spacing w:after="240"/>
      <w:jc w:val="both"/>
    </w:pPr>
    <w:rPr>
      <w:sz w:val="22"/>
      <w:szCs w:val="20"/>
      <w:lang w:val="es-ES"/>
    </w:rPr>
  </w:style>
  <w:style w:type="paragraph" w:customStyle="1" w:styleId="ListUnoCarta">
    <w:name w:val="ListUnoCarta"/>
    <w:basedOn w:val="Carta"/>
    <w:rsid w:val="006619B7"/>
    <w:pPr>
      <w:ind w:left="284" w:hanging="284"/>
      <w:jc w:val="left"/>
    </w:pPr>
    <w:rPr>
      <w:noProof/>
    </w:rPr>
  </w:style>
  <w:style w:type="paragraph" w:styleId="NormalWeb">
    <w:name w:val="Normal (Web)"/>
    <w:basedOn w:val="Normal"/>
    <w:unhideWhenUsed/>
    <w:rsid w:val="006619B7"/>
    <w:pPr>
      <w:spacing w:before="100" w:beforeAutospacing="1" w:after="100" w:afterAutospacing="1"/>
      <w:jc w:val="both"/>
    </w:pPr>
    <w:rPr>
      <w:rFonts w:ascii="Verdana" w:hAnsi="Verdana"/>
      <w:sz w:val="14"/>
      <w:szCs w:val="14"/>
      <w:lang w:val="es-ES" w:eastAsia="es-ES"/>
    </w:rPr>
  </w:style>
  <w:style w:type="paragraph" w:customStyle="1" w:styleId="textonormal">
    <w:name w:val="texto normal"/>
    <w:basedOn w:val="Normal"/>
    <w:rsid w:val="006619B7"/>
    <w:pPr>
      <w:widowControl w:val="0"/>
      <w:spacing w:after="240"/>
      <w:ind w:left="567"/>
      <w:jc w:val="both"/>
    </w:pPr>
    <w:rPr>
      <w:rFonts w:ascii="Book Antiqua" w:hAnsi="Book Antiqua"/>
      <w:sz w:val="22"/>
      <w:szCs w:val="20"/>
      <w:lang w:val="es-ES_tradnl" w:eastAsia="es-ES"/>
    </w:rPr>
  </w:style>
  <w:style w:type="paragraph" w:customStyle="1" w:styleId="textoletra">
    <w:name w:val="texto letra"/>
    <w:basedOn w:val="textonormal"/>
    <w:rsid w:val="006619B7"/>
    <w:pPr>
      <w:ind w:left="907"/>
    </w:pPr>
  </w:style>
  <w:style w:type="paragraph" w:customStyle="1" w:styleId="ttuloguinletra">
    <w:name w:val="título guión letra"/>
    <w:basedOn w:val="Normal"/>
    <w:next w:val="textoletra"/>
    <w:rsid w:val="006619B7"/>
    <w:pPr>
      <w:keepNext/>
      <w:keepLines/>
      <w:widowControl w:val="0"/>
      <w:tabs>
        <w:tab w:val="left" w:pos="119"/>
      </w:tabs>
      <w:spacing w:after="240"/>
      <w:ind w:left="907" w:right="3963"/>
    </w:pPr>
    <w:rPr>
      <w:rFonts w:ascii="Book Antiqua" w:hAnsi="Book Antiqua"/>
      <w:i/>
      <w:sz w:val="22"/>
      <w:szCs w:val="20"/>
      <w:lang w:val="es-ES_tradnl" w:eastAsia="es-ES"/>
    </w:rPr>
  </w:style>
  <w:style w:type="paragraph" w:customStyle="1" w:styleId="prrafoH">
    <w:name w:val="párrafo H"/>
    <w:basedOn w:val="textonormal"/>
    <w:rsid w:val="006619B7"/>
    <w:pPr>
      <w:ind w:left="907" w:hanging="340"/>
    </w:pPr>
  </w:style>
  <w:style w:type="paragraph" w:customStyle="1" w:styleId="2espacios">
    <w:name w:val="2 espacios"/>
    <w:basedOn w:val="Normal"/>
    <w:rsid w:val="006619B7"/>
    <w:pPr>
      <w:spacing w:before="400"/>
      <w:jc w:val="both"/>
    </w:pPr>
    <w:rPr>
      <w:szCs w:val="20"/>
      <w:lang w:val="es-ES_tradnl"/>
    </w:rPr>
  </w:style>
  <w:style w:type="paragraph" w:customStyle="1" w:styleId="prrafoI">
    <w:name w:val="párrafo I"/>
    <w:basedOn w:val="textoletra"/>
    <w:rsid w:val="006619B7"/>
    <w:pPr>
      <w:ind w:left="1247" w:hanging="340"/>
    </w:pPr>
  </w:style>
  <w:style w:type="paragraph" w:customStyle="1" w:styleId="lugar2">
    <w:name w:val="lugar2"/>
    <w:basedOn w:val="Normal"/>
    <w:rsid w:val="008A3E54"/>
    <w:pPr>
      <w:spacing w:before="100" w:beforeAutospacing="1" w:line="240" w:lineRule="atLeast"/>
      <w:jc w:val="both"/>
    </w:pPr>
    <w:rPr>
      <w:rFonts w:ascii="Arial Narrow" w:hAnsi="Arial Narrow"/>
      <w:color w:val="000000"/>
      <w:sz w:val="26"/>
      <w:szCs w:val="26"/>
      <w:lang w:val="es-ES" w:eastAsia="es-ES"/>
    </w:rPr>
  </w:style>
  <w:style w:type="paragraph" w:customStyle="1" w:styleId="direccion2">
    <w:name w:val="direccion2"/>
    <w:basedOn w:val="Normal"/>
    <w:rsid w:val="008A3E54"/>
    <w:pPr>
      <w:spacing w:before="100" w:beforeAutospacing="1" w:line="240" w:lineRule="atLeast"/>
      <w:jc w:val="both"/>
    </w:pPr>
    <w:rPr>
      <w:rFonts w:ascii="Arial Narrow" w:hAnsi="Arial Narrow"/>
      <w:color w:val="000000"/>
      <w:sz w:val="26"/>
      <w:szCs w:val="26"/>
      <w:lang w:val="es-ES" w:eastAsia="es-ES"/>
    </w:rPr>
  </w:style>
  <w:style w:type="paragraph" w:customStyle="1" w:styleId="CartaDos">
    <w:name w:val="CartaDos"/>
    <w:basedOn w:val="Normal"/>
    <w:rsid w:val="00003DC0"/>
    <w:rPr>
      <w:noProof/>
      <w:sz w:val="22"/>
      <w:szCs w:val="20"/>
      <w:lang w:val="es-ES"/>
    </w:rPr>
  </w:style>
  <w:style w:type="character" w:customStyle="1" w:styleId="FooterChar">
    <w:name w:val="Footer Char"/>
    <w:link w:val="Footer"/>
    <w:uiPriority w:val="99"/>
    <w:rsid w:val="0078184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05959452">
      <w:bodyDiv w:val="1"/>
      <w:marLeft w:val="0"/>
      <w:marRight w:val="0"/>
      <w:marTop w:val="0"/>
      <w:marBottom w:val="0"/>
      <w:divBdr>
        <w:top w:val="none" w:sz="0" w:space="0" w:color="auto"/>
        <w:left w:val="none" w:sz="0" w:space="0" w:color="auto"/>
        <w:bottom w:val="none" w:sz="0" w:space="0" w:color="auto"/>
        <w:right w:val="none" w:sz="0" w:space="0" w:color="auto"/>
      </w:divBdr>
    </w:div>
    <w:div w:id="435759355">
      <w:bodyDiv w:val="1"/>
      <w:marLeft w:val="0"/>
      <w:marRight w:val="0"/>
      <w:marTop w:val="0"/>
      <w:marBottom w:val="0"/>
      <w:divBdr>
        <w:top w:val="none" w:sz="0" w:space="0" w:color="auto"/>
        <w:left w:val="none" w:sz="0" w:space="0" w:color="auto"/>
        <w:bottom w:val="none" w:sz="0" w:space="0" w:color="auto"/>
        <w:right w:val="none" w:sz="0" w:space="0" w:color="auto"/>
      </w:divBdr>
    </w:div>
    <w:div w:id="704672274">
      <w:bodyDiv w:val="1"/>
      <w:marLeft w:val="0"/>
      <w:marRight w:val="0"/>
      <w:marTop w:val="0"/>
      <w:marBottom w:val="0"/>
      <w:divBdr>
        <w:top w:val="none" w:sz="0" w:space="0" w:color="auto"/>
        <w:left w:val="none" w:sz="0" w:space="0" w:color="auto"/>
        <w:bottom w:val="none" w:sz="0" w:space="0" w:color="auto"/>
        <w:right w:val="none" w:sz="0" w:space="0" w:color="auto"/>
      </w:divBdr>
      <w:divsChild>
        <w:div w:id="1389381321">
          <w:marLeft w:val="0"/>
          <w:marRight w:val="0"/>
          <w:marTop w:val="0"/>
          <w:marBottom w:val="0"/>
          <w:divBdr>
            <w:top w:val="none" w:sz="0" w:space="0" w:color="auto"/>
            <w:left w:val="none" w:sz="0" w:space="0" w:color="auto"/>
            <w:bottom w:val="none" w:sz="0" w:space="0" w:color="auto"/>
            <w:right w:val="none" w:sz="0" w:space="0" w:color="auto"/>
          </w:divBdr>
          <w:divsChild>
            <w:div w:id="2064325783">
              <w:marLeft w:val="0"/>
              <w:marRight w:val="0"/>
              <w:marTop w:val="0"/>
              <w:marBottom w:val="0"/>
              <w:divBdr>
                <w:top w:val="none" w:sz="0" w:space="0" w:color="auto"/>
                <w:left w:val="none" w:sz="0" w:space="0" w:color="auto"/>
                <w:bottom w:val="none" w:sz="0" w:space="0" w:color="auto"/>
                <w:right w:val="none" w:sz="0" w:space="0" w:color="auto"/>
              </w:divBdr>
              <w:divsChild>
                <w:div w:id="1079332125">
                  <w:marLeft w:val="480"/>
                  <w:marRight w:val="480"/>
                  <w:marTop w:val="480"/>
                  <w:marBottom w:val="0"/>
                  <w:divBdr>
                    <w:top w:val="none" w:sz="0" w:space="0" w:color="auto"/>
                    <w:left w:val="none" w:sz="0" w:space="0" w:color="auto"/>
                    <w:bottom w:val="none" w:sz="0" w:space="0" w:color="auto"/>
                    <w:right w:val="none" w:sz="0" w:space="0" w:color="auto"/>
                  </w:divBdr>
                  <w:divsChild>
                    <w:div w:id="2016683983">
                      <w:marLeft w:val="0"/>
                      <w:marRight w:val="0"/>
                      <w:marTop w:val="0"/>
                      <w:marBottom w:val="0"/>
                      <w:divBdr>
                        <w:top w:val="none" w:sz="0" w:space="0" w:color="auto"/>
                        <w:left w:val="none" w:sz="0" w:space="0" w:color="auto"/>
                        <w:bottom w:val="none" w:sz="0" w:space="0" w:color="auto"/>
                        <w:right w:val="none" w:sz="0" w:space="0" w:color="auto"/>
                      </w:divBdr>
                      <w:divsChild>
                        <w:div w:id="401215158">
                          <w:marLeft w:val="20"/>
                          <w:marRight w:val="0"/>
                          <w:marTop w:val="0"/>
                          <w:marBottom w:val="0"/>
                          <w:divBdr>
                            <w:top w:val="none" w:sz="0" w:space="0" w:color="auto"/>
                            <w:left w:val="single" w:sz="6" w:space="0" w:color="000000"/>
                            <w:bottom w:val="none" w:sz="0" w:space="0" w:color="auto"/>
                            <w:right w:val="none" w:sz="0" w:space="0" w:color="auto"/>
                          </w:divBdr>
                          <w:divsChild>
                            <w:div w:id="1681739619">
                              <w:marLeft w:val="0"/>
                              <w:marRight w:val="0"/>
                              <w:marTop w:val="0"/>
                              <w:marBottom w:val="0"/>
                              <w:divBdr>
                                <w:top w:val="none" w:sz="0" w:space="0" w:color="auto"/>
                                <w:left w:val="none" w:sz="0" w:space="0" w:color="auto"/>
                                <w:bottom w:val="none" w:sz="0" w:space="0" w:color="auto"/>
                                <w:right w:val="none" w:sz="0" w:space="0" w:color="auto"/>
                              </w:divBdr>
                              <w:divsChild>
                                <w:div w:id="1379235471">
                                  <w:marLeft w:val="0"/>
                                  <w:marRight w:val="0"/>
                                  <w:marTop w:val="0"/>
                                  <w:marBottom w:val="0"/>
                                  <w:divBdr>
                                    <w:top w:val="none" w:sz="0" w:space="0" w:color="auto"/>
                                    <w:left w:val="none" w:sz="0" w:space="0" w:color="auto"/>
                                    <w:bottom w:val="none" w:sz="0" w:space="0" w:color="auto"/>
                                    <w:right w:val="none" w:sz="0" w:space="0" w:color="auto"/>
                                  </w:divBdr>
                                  <w:divsChild>
                                    <w:div w:id="1847092897">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882332058">
                                              <w:marLeft w:val="0"/>
                                              <w:marRight w:val="0"/>
                                              <w:marTop w:val="0"/>
                                              <w:marBottom w:val="0"/>
                                              <w:divBdr>
                                                <w:top w:val="none" w:sz="0" w:space="0" w:color="auto"/>
                                                <w:left w:val="none" w:sz="0" w:space="0" w:color="auto"/>
                                                <w:bottom w:val="none" w:sz="0" w:space="0" w:color="auto"/>
                                                <w:right w:val="none" w:sz="0" w:space="0" w:color="auto"/>
                                              </w:divBdr>
                                              <w:divsChild>
                                                <w:div w:id="171379601">
                                                  <w:marLeft w:val="0"/>
                                                  <w:marRight w:val="0"/>
                                                  <w:marTop w:val="0"/>
                                                  <w:marBottom w:val="0"/>
                                                  <w:divBdr>
                                                    <w:top w:val="none" w:sz="0" w:space="0" w:color="auto"/>
                                                    <w:left w:val="none" w:sz="0" w:space="0" w:color="auto"/>
                                                    <w:bottom w:val="none" w:sz="0" w:space="0" w:color="auto"/>
                                                    <w:right w:val="none" w:sz="0" w:space="0" w:color="auto"/>
                                                  </w:divBdr>
                                                  <w:divsChild>
                                                    <w:div w:id="2101363146">
                                                      <w:marLeft w:val="0"/>
                                                      <w:marRight w:val="0"/>
                                                      <w:marTop w:val="0"/>
                                                      <w:marBottom w:val="0"/>
                                                      <w:divBdr>
                                                        <w:top w:val="none" w:sz="0" w:space="0" w:color="auto"/>
                                                        <w:left w:val="none" w:sz="0" w:space="0" w:color="auto"/>
                                                        <w:bottom w:val="none" w:sz="0" w:space="0" w:color="auto"/>
                                                        <w:right w:val="none" w:sz="0" w:space="0" w:color="auto"/>
                                                      </w:divBdr>
                                                      <w:divsChild>
                                                        <w:div w:id="1327513017">
                                                          <w:marLeft w:val="0"/>
                                                          <w:marRight w:val="0"/>
                                                          <w:marTop w:val="0"/>
                                                          <w:marBottom w:val="0"/>
                                                          <w:divBdr>
                                                            <w:top w:val="none" w:sz="0" w:space="0" w:color="auto"/>
                                                            <w:left w:val="none" w:sz="0" w:space="0" w:color="auto"/>
                                                            <w:bottom w:val="none" w:sz="0" w:space="0" w:color="auto"/>
                                                            <w:right w:val="none" w:sz="0" w:space="0" w:color="auto"/>
                                                          </w:divBdr>
                                                          <w:divsChild>
                                                            <w:div w:id="1480270962">
                                                              <w:marLeft w:val="0"/>
                                                              <w:marRight w:val="0"/>
                                                              <w:marTop w:val="0"/>
                                                              <w:marBottom w:val="0"/>
                                                              <w:divBdr>
                                                                <w:top w:val="none" w:sz="0" w:space="0" w:color="auto"/>
                                                                <w:left w:val="none" w:sz="0" w:space="0" w:color="auto"/>
                                                                <w:bottom w:val="none" w:sz="0" w:space="0" w:color="auto"/>
                                                                <w:right w:val="none" w:sz="0" w:space="0" w:color="auto"/>
                                                              </w:divBdr>
                                                              <w:divsChild>
                                                                <w:div w:id="673798249">
                                                                  <w:marLeft w:val="0"/>
                                                                  <w:marRight w:val="0"/>
                                                                  <w:marTop w:val="0"/>
                                                                  <w:marBottom w:val="0"/>
                                                                  <w:divBdr>
                                                                    <w:top w:val="none" w:sz="0" w:space="0" w:color="auto"/>
                                                                    <w:left w:val="none" w:sz="0" w:space="0" w:color="auto"/>
                                                                    <w:bottom w:val="none" w:sz="0" w:space="0" w:color="auto"/>
                                                                    <w:right w:val="none" w:sz="0" w:space="0" w:color="auto"/>
                                                                  </w:divBdr>
                                                                  <w:divsChild>
                                                                    <w:div w:id="588585376">
                                                                      <w:marLeft w:val="0"/>
                                                                      <w:marRight w:val="0"/>
                                                                      <w:marTop w:val="0"/>
                                                                      <w:marBottom w:val="0"/>
                                                                      <w:divBdr>
                                                                        <w:top w:val="none" w:sz="0" w:space="0" w:color="auto"/>
                                                                        <w:left w:val="none" w:sz="0" w:space="0" w:color="auto"/>
                                                                        <w:bottom w:val="none" w:sz="0" w:space="0" w:color="auto"/>
                                                                        <w:right w:val="none" w:sz="0" w:space="0" w:color="auto"/>
                                                                      </w:divBdr>
                                                                      <w:divsChild>
                                                                        <w:div w:id="1443304911">
                                                                          <w:marLeft w:val="7500"/>
                                                                          <w:marRight w:val="0"/>
                                                                          <w:marTop w:val="0"/>
                                                                          <w:marBottom w:val="0"/>
                                                                          <w:divBdr>
                                                                            <w:top w:val="none" w:sz="0" w:space="0" w:color="auto"/>
                                                                            <w:left w:val="none" w:sz="0" w:space="0" w:color="auto"/>
                                                                            <w:bottom w:val="none" w:sz="0" w:space="0" w:color="auto"/>
                                                                            <w:right w:val="none" w:sz="0" w:space="0" w:color="auto"/>
                                                                          </w:divBdr>
                                                                          <w:divsChild>
                                                                            <w:div w:id="1810514267">
                                                                              <w:marLeft w:val="0"/>
                                                                              <w:marRight w:val="0"/>
                                                                              <w:marTop w:val="0"/>
                                                                              <w:marBottom w:val="0"/>
                                                                              <w:divBdr>
                                                                                <w:top w:val="none" w:sz="0" w:space="0" w:color="auto"/>
                                                                                <w:left w:val="single" w:sz="6" w:space="11"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4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4967</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Fecha:</vt:lpstr>
      <vt:lpstr>Fecha:</vt:lpstr>
    </vt:vector>
  </TitlesOfParts>
  <Company>Deloitte &amp; Touche</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ibarrientos</dc:creator>
  <cp:lastModifiedBy>jbasildo</cp:lastModifiedBy>
  <cp:revision>2</cp:revision>
  <cp:lastPrinted>2014-05-28T11:04:00Z</cp:lastPrinted>
  <dcterms:created xsi:type="dcterms:W3CDTF">2014-09-03T11:00:00Z</dcterms:created>
  <dcterms:modified xsi:type="dcterms:W3CDTF">2014-09-03T11:00:00Z</dcterms:modified>
</cp:coreProperties>
</file>