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7C" w:rsidRPr="00B2523D" w:rsidRDefault="004023F5" w:rsidP="00B2523D">
      <w:pPr>
        <w:spacing w:before="240" w:after="0" w:line="240" w:lineRule="auto"/>
        <w:rPr>
          <w:rFonts w:cs="Tahoma"/>
          <w:b/>
          <w:lang w:val="es-ES_tradnl"/>
        </w:rPr>
      </w:pPr>
      <w:r w:rsidRPr="00B2523D">
        <w:rPr>
          <w:rFonts w:cs="Tahoma"/>
          <w:b/>
          <w:lang w:val="es-ES_tradnl"/>
        </w:rPr>
        <w:t xml:space="preserve">Informe de Auditoría de </w:t>
      </w:r>
      <w:r w:rsidR="00613F7C" w:rsidRPr="00B2523D">
        <w:rPr>
          <w:rFonts w:cs="Tahoma"/>
          <w:b/>
          <w:lang w:val="es-ES_tradnl"/>
        </w:rPr>
        <w:t>Cuentas Anuales</w:t>
      </w:r>
      <w:r w:rsidR="005379CD" w:rsidRPr="00B2523D">
        <w:rPr>
          <w:rFonts w:cs="Tahoma"/>
          <w:b/>
          <w:lang w:val="es-ES_tradnl"/>
        </w:rPr>
        <w:t xml:space="preserve"> Consolidadas</w:t>
      </w:r>
    </w:p>
    <w:p w:rsidR="004023F5" w:rsidRPr="00B2523D" w:rsidRDefault="00551751" w:rsidP="00B2523D">
      <w:pPr>
        <w:spacing w:after="0" w:line="240" w:lineRule="auto"/>
        <w:rPr>
          <w:rFonts w:cs="Tahoma"/>
          <w:b/>
          <w:lang w:val="es-ES_tradnl"/>
        </w:rPr>
      </w:pPr>
      <w:proofErr w:type="gramStart"/>
      <w:r w:rsidRPr="00B2523D">
        <w:rPr>
          <w:rFonts w:cs="Tahoma"/>
          <w:b/>
          <w:lang w:val="es-ES_tradnl"/>
        </w:rPr>
        <w:t>emitido</w:t>
      </w:r>
      <w:proofErr w:type="gramEnd"/>
      <w:r w:rsidRPr="00B2523D">
        <w:rPr>
          <w:rFonts w:cs="Tahoma"/>
          <w:b/>
          <w:lang w:val="es-ES_tradnl"/>
        </w:rPr>
        <w:t xml:space="preserve"> por un Auditor Independiente</w:t>
      </w:r>
    </w:p>
    <w:p w:rsidR="002A6E66" w:rsidRPr="00B2523D" w:rsidRDefault="007967A1" w:rsidP="00B2523D">
      <w:pPr>
        <w:spacing w:before="240" w:after="0" w:line="240" w:lineRule="auto"/>
        <w:rPr>
          <w:rFonts w:cs="Tahoma"/>
          <w:b/>
          <w:lang w:val="es-ES_tradnl"/>
        </w:rPr>
      </w:pPr>
      <w:r w:rsidRPr="00B2523D">
        <w:rPr>
          <w:rFonts w:cs="Tahoma"/>
          <w:b/>
          <w:lang w:val="es-ES_tradnl"/>
        </w:rPr>
        <w:t>FUNDACIÓN ONCE PARA LA COOPERACIÓN E INCLUSIÓN SOCIAL DE PERSONAS CON DISCAPACIDAD Y ENTIDADES DEPENDIENTES</w:t>
      </w:r>
    </w:p>
    <w:p w:rsidR="004023F5" w:rsidRPr="00B2523D" w:rsidRDefault="004023F5" w:rsidP="00B2523D">
      <w:pPr>
        <w:spacing w:after="0" w:line="240" w:lineRule="auto"/>
        <w:rPr>
          <w:rFonts w:cs="Tahoma"/>
          <w:b/>
          <w:lang w:val="es-ES_tradnl"/>
        </w:rPr>
      </w:pPr>
      <w:r w:rsidRPr="00B2523D">
        <w:rPr>
          <w:rFonts w:cs="Tahoma"/>
          <w:b/>
          <w:lang w:val="es-ES_tradnl"/>
        </w:rPr>
        <w:t>Cuentas Anuales</w:t>
      </w:r>
      <w:r w:rsidR="005379CD" w:rsidRPr="00B2523D">
        <w:rPr>
          <w:rFonts w:cs="Tahoma"/>
          <w:b/>
          <w:lang w:val="es-ES_tradnl"/>
        </w:rPr>
        <w:t xml:space="preserve"> Consolidadas</w:t>
      </w:r>
      <w:r w:rsidRPr="00B2523D">
        <w:rPr>
          <w:rFonts w:cs="Tahoma"/>
          <w:b/>
          <w:lang w:val="es-ES_tradnl"/>
        </w:rPr>
        <w:t xml:space="preserve"> e Informe de Gestión</w:t>
      </w:r>
      <w:r w:rsidR="005379CD" w:rsidRPr="00B2523D">
        <w:rPr>
          <w:rFonts w:cs="Tahoma"/>
          <w:b/>
          <w:lang w:val="es-ES_tradnl"/>
        </w:rPr>
        <w:t xml:space="preserve"> Consolidado</w:t>
      </w:r>
    </w:p>
    <w:p w:rsidR="004023F5" w:rsidRPr="00B2523D" w:rsidRDefault="004023F5" w:rsidP="00B2523D">
      <w:pPr>
        <w:spacing w:after="0" w:line="240" w:lineRule="auto"/>
        <w:rPr>
          <w:rFonts w:cs="Tahoma"/>
          <w:b/>
          <w:lang w:val="es-ES_tradnl"/>
        </w:rPr>
      </w:pPr>
      <w:proofErr w:type="gramStart"/>
      <w:r w:rsidRPr="00B2523D">
        <w:rPr>
          <w:rFonts w:cs="Tahoma"/>
          <w:b/>
          <w:lang w:val="es-ES_tradnl"/>
        </w:rPr>
        <w:t>correspondientes</w:t>
      </w:r>
      <w:proofErr w:type="gramEnd"/>
      <w:r w:rsidRPr="00B2523D">
        <w:rPr>
          <w:rFonts w:cs="Tahoma"/>
          <w:b/>
          <w:lang w:val="es-ES_tradnl"/>
        </w:rPr>
        <w:t xml:space="preserve"> al ejercicio anual terminado</w:t>
      </w:r>
    </w:p>
    <w:p w:rsidR="004023F5" w:rsidRPr="00B2523D" w:rsidRDefault="00EF62EB" w:rsidP="00B2523D">
      <w:pPr>
        <w:spacing w:after="0" w:line="240" w:lineRule="auto"/>
        <w:rPr>
          <w:rFonts w:cs="Tahoma"/>
          <w:b/>
          <w:lang w:val="es-ES_tradnl"/>
        </w:rPr>
      </w:pPr>
      <w:proofErr w:type="gramStart"/>
      <w:r w:rsidRPr="00B2523D">
        <w:rPr>
          <w:rFonts w:cs="Tahoma"/>
          <w:b/>
          <w:lang w:val="es-ES_tradnl"/>
        </w:rPr>
        <w:t>el</w:t>
      </w:r>
      <w:proofErr w:type="gramEnd"/>
      <w:r w:rsidRPr="00B2523D">
        <w:rPr>
          <w:rFonts w:cs="Tahoma"/>
          <w:b/>
          <w:lang w:val="es-ES_tradnl"/>
        </w:rPr>
        <w:t xml:space="preserve"> 31</w:t>
      </w:r>
      <w:r w:rsidR="004023F5" w:rsidRPr="00B2523D">
        <w:rPr>
          <w:rFonts w:cs="Tahoma"/>
          <w:b/>
          <w:lang w:val="es-ES_tradnl"/>
        </w:rPr>
        <w:t xml:space="preserve"> </w:t>
      </w:r>
      <w:r w:rsidRPr="00B2523D">
        <w:rPr>
          <w:rFonts w:cs="Tahoma"/>
          <w:b/>
          <w:lang w:val="es-ES_tradnl"/>
        </w:rPr>
        <w:t>de diciembre</w:t>
      </w:r>
      <w:r w:rsidR="004023F5" w:rsidRPr="00B2523D">
        <w:rPr>
          <w:rFonts w:cs="Tahoma"/>
          <w:b/>
          <w:lang w:val="es-ES_tradnl"/>
        </w:rPr>
        <w:t xml:space="preserve"> de 20</w:t>
      </w:r>
      <w:r w:rsidRPr="00B2523D">
        <w:rPr>
          <w:rFonts w:cs="Tahoma"/>
          <w:b/>
          <w:lang w:val="es-ES_tradnl"/>
        </w:rPr>
        <w:t>17</w:t>
      </w:r>
    </w:p>
    <w:p w:rsidR="004023F5" w:rsidRPr="00B2523D" w:rsidRDefault="004023F5" w:rsidP="00B2523D">
      <w:pPr>
        <w:pStyle w:val="Default"/>
        <w:rPr>
          <w:rFonts w:ascii="EYInterstate Light" w:hAnsi="EYInterstate Light" w:cs="Garamond"/>
          <w:b/>
          <w:bCs/>
          <w:sz w:val="22"/>
          <w:szCs w:val="22"/>
          <w:lang w:val="es-ES_tradnl"/>
        </w:rPr>
      </w:pPr>
    </w:p>
    <w:p w:rsidR="00CF2711" w:rsidRPr="00B2523D" w:rsidRDefault="00CF2711" w:rsidP="00B2523D">
      <w:pPr>
        <w:pStyle w:val="Default"/>
        <w:rPr>
          <w:rFonts w:ascii="EYInterstate Light" w:hAnsi="EYInterstate Light" w:cs="Garamond"/>
          <w:b/>
          <w:bCs/>
          <w:sz w:val="22"/>
          <w:szCs w:val="22"/>
          <w:lang w:val="es-ES_tradnl"/>
        </w:rPr>
        <w:sectPr w:rsidR="00CF2711" w:rsidRPr="00B2523D" w:rsidSect="00551751">
          <w:pgSz w:w="11907" w:h="16840" w:code="9"/>
          <w:pgMar w:top="2268" w:right="1985" w:bottom="1134" w:left="3119" w:header="1134" w:footer="1134" w:gutter="0"/>
          <w:cols w:space="720"/>
          <w:titlePg/>
          <w:docGrid w:linePitch="360"/>
        </w:sectPr>
      </w:pPr>
    </w:p>
    <w:p w:rsidR="004023F5" w:rsidRPr="00B2523D" w:rsidRDefault="004023F5" w:rsidP="00B2523D">
      <w:pPr>
        <w:pStyle w:val="Default"/>
        <w:spacing w:before="600"/>
        <w:jc w:val="center"/>
        <w:rPr>
          <w:rFonts w:ascii="EYInterstate Light" w:hAnsi="EYInterstate Light" w:cs="Garamond"/>
          <w:sz w:val="22"/>
          <w:szCs w:val="22"/>
          <w:lang w:val="es-ES_tradnl"/>
        </w:rPr>
      </w:pPr>
      <w:r w:rsidRPr="00B2523D">
        <w:rPr>
          <w:rFonts w:ascii="EYInterstate Light" w:hAnsi="EYInterstate Light" w:cs="Garamond"/>
          <w:sz w:val="22"/>
          <w:szCs w:val="22"/>
          <w:lang w:val="es-ES_tradnl"/>
        </w:rPr>
        <w:lastRenderedPageBreak/>
        <w:t>INFORME DE AUDITORÍA DE CUENTAS ANUALES</w:t>
      </w:r>
      <w:r w:rsidR="005379CD" w:rsidRPr="00B2523D">
        <w:rPr>
          <w:rFonts w:ascii="EYInterstate Light" w:hAnsi="EYInterstate Light" w:cs="Garamond"/>
          <w:sz w:val="22"/>
          <w:szCs w:val="22"/>
          <w:lang w:val="es-ES_tradnl"/>
        </w:rPr>
        <w:t xml:space="preserve"> CONSOLIDADAS</w:t>
      </w:r>
      <w:r w:rsidRPr="00B2523D">
        <w:rPr>
          <w:rFonts w:ascii="EYInterstate Light" w:hAnsi="EYInterstate Light" w:cs="Garamond"/>
          <w:sz w:val="22"/>
          <w:szCs w:val="22"/>
          <w:lang w:val="es-ES_tradnl"/>
        </w:rPr>
        <w:t xml:space="preserve"> EMITIDO POR UN AUDITOR INDEPENDIENTE</w:t>
      </w:r>
    </w:p>
    <w:p w:rsidR="004023F5" w:rsidRPr="00B2523D" w:rsidRDefault="002A6E66" w:rsidP="00B2523D">
      <w:pPr>
        <w:autoSpaceDE w:val="0"/>
        <w:autoSpaceDN w:val="0"/>
        <w:adjustRightInd w:val="0"/>
        <w:spacing w:before="600" w:after="0" w:line="240" w:lineRule="auto"/>
        <w:rPr>
          <w:rFonts w:eastAsiaTheme="minorHAnsi"/>
          <w:lang w:val="es-ES_tradnl"/>
        </w:rPr>
      </w:pPr>
      <w:r w:rsidRPr="00B2523D">
        <w:rPr>
          <w:rFonts w:eastAsiaTheme="minorHAnsi"/>
          <w:lang w:val="es-ES_tradnl"/>
        </w:rPr>
        <w:t>Al Patronato de FUNDACIÓN ONCE PARA LA COOPERACIÓN E INCLUSIÓN SOCIAL DE PERSONAS CON DISCAPACIDAD</w:t>
      </w:r>
      <w:r w:rsidR="004023F5" w:rsidRPr="00B2523D">
        <w:rPr>
          <w:rFonts w:eastAsiaTheme="minorHAnsi"/>
          <w:lang w:val="es-ES_tradnl"/>
        </w:rPr>
        <w:t>:</w:t>
      </w:r>
    </w:p>
    <w:p w:rsidR="004023F5" w:rsidRPr="00B2523D" w:rsidRDefault="004023F5" w:rsidP="00B2523D">
      <w:pPr>
        <w:pStyle w:val="Default"/>
        <w:spacing w:before="600"/>
        <w:rPr>
          <w:rFonts w:ascii="EYInterstate Light" w:hAnsi="EYInterstate Light" w:cs="Garamond"/>
          <w:b/>
          <w:sz w:val="22"/>
          <w:szCs w:val="22"/>
          <w:lang w:val="es-ES_tradnl"/>
        </w:rPr>
      </w:pPr>
      <w:r w:rsidRPr="00B2523D">
        <w:rPr>
          <w:rFonts w:ascii="EYInterstate Light" w:hAnsi="EYInterstate Light" w:cs="Garamond"/>
          <w:b/>
          <w:sz w:val="22"/>
          <w:szCs w:val="22"/>
          <w:lang w:val="es-ES_tradnl"/>
        </w:rPr>
        <w:t>Opinión</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Hemos auditado las cuentas anuales</w:t>
      </w:r>
      <w:r w:rsidR="00C23F05" w:rsidRPr="00B2523D">
        <w:rPr>
          <w:rFonts w:cs="Garamond"/>
          <w:color w:val="000000"/>
          <w:lang w:val="es-ES_tradnl"/>
        </w:rPr>
        <w:t xml:space="preserve"> consolidadas</w:t>
      </w:r>
      <w:r w:rsidRPr="00B2523D">
        <w:rPr>
          <w:rFonts w:cs="Garamond"/>
          <w:color w:val="000000"/>
          <w:lang w:val="es-ES_tradnl"/>
        </w:rPr>
        <w:t xml:space="preserve"> de </w:t>
      </w:r>
      <w:r w:rsidR="003B577E" w:rsidRPr="00B2523D">
        <w:rPr>
          <w:rFonts w:cs="Garamond"/>
          <w:color w:val="000000"/>
          <w:lang w:val="es-ES_tradnl"/>
        </w:rPr>
        <w:t>FUNDACIÓN ONCE PARA LA COOPERACIÓN E INCLUSIÓN SOCIAL DE PERSONAS CON DISCAPACIDAD</w:t>
      </w:r>
      <w:r w:rsidR="002A6E66" w:rsidRPr="00B2523D">
        <w:rPr>
          <w:rFonts w:cs="Garamond"/>
          <w:color w:val="000000"/>
          <w:lang w:val="es-ES_tradnl"/>
        </w:rPr>
        <w:t xml:space="preserve"> (en adelante, la Fundación ONCE), y Entidades Dependientes (el Grupo)</w:t>
      </w:r>
      <w:r w:rsidR="00470997" w:rsidRPr="00B2523D">
        <w:rPr>
          <w:rFonts w:cs="Garamond"/>
          <w:color w:val="000000"/>
          <w:lang w:val="es-ES_tradnl"/>
        </w:rPr>
        <w:t>,</w:t>
      </w:r>
      <w:r w:rsidR="00C23F05" w:rsidRPr="00B2523D">
        <w:rPr>
          <w:rFonts w:cs="Garamond"/>
          <w:color w:val="000000"/>
          <w:lang w:val="es-ES_tradnl"/>
        </w:rPr>
        <w:t xml:space="preserve"> </w:t>
      </w:r>
      <w:r w:rsidRPr="00B2523D">
        <w:rPr>
          <w:rFonts w:cs="Garamond"/>
          <w:color w:val="000000"/>
          <w:lang w:val="es-ES_tradnl"/>
        </w:rPr>
        <w:t xml:space="preserve">que comprenden el balance a 31 de diciembre de </w:t>
      </w:r>
      <w:r w:rsidR="008423F2" w:rsidRPr="00B2523D">
        <w:rPr>
          <w:rFonts w:cs="Garamond"/>
          <w:color w:val="000000"/>
          <w:lang w:val="es-ES_tradnl"/>
        </w:rPr>
        <w:t>2017</w:t>
      </w:r>
      <w:r w:rsidRPr="00B2523D">
        <w:rPr>
          <w:rFonts w:cs="Garamond"/>
          <w:color w:val="000000"/>
          <w:lang w:val="es-ES_tradnl"/>
        </w:rPr>
        <w:t xml:space="preserve">, la </w:t>
      </w:r>
      <w:r w:rsidR="002A6E66" w:rsidRPr="00B2523D">
        <w:rPr>
          <w:rFonts w:cs="Garamond"/>
          <w:color w:val="000000"/>
          <w:lang w:val="es-ES_tradnl"/>
        </w:rPr>
        <w:t>cuenta de pérdidas y ganancias</w:t>
      </w:r>
      <w:r w:rsidR="008B17F4" w:rsidRPr="00B2523D">
        <w:rPr>
          <w:rFonts w:cs="Garamond"/>
          <w:color w:val="000000"/>
          <w:lang w:val="es-ES_tradnl"/>
        </w:rPr>
        <w:t>,</w:t>
      </w:r>
      <w:r w:rsidR="008B17F4" w:rsidRPr="00B2523D">
        <w:rPr>
          <w:rFonts w:cs="Garamond"/>
          <w:lang w:val="es-ES_tradnl"/>
        </w:rPr>
        <w:t xml:space="preserve"> el estado de cambios en el patrimonio neto, el estado de flujos de efectivo</w:t>
      </w:r>
      <w:r w:rsidR="002A6E66" w:rsidRPr="00B2523D">
        <w:rPr>
          <w:rFonts w:cs="Garamond"/>
          <w:color w:val="000000"/>
          <w:lang w:val="es-ES_tradnl"/>
        </w:rPr>
        <w:t xml:space="preserve"> </w:t>
      </w:r>
      <w:r w:rsidRPr="00B2523D">
        <w:rPr>
          <w:rFonts w:cs="Garamond"/>
          <w:color w:val="000000"/>
          <w:lang w:val="es-ES_tradnl"/>
        </w:rPr>
        <w:t>y la memoria</w:t>
      </w:r>
      <w:r w:rsidR="00C23F05" w:rsidRPr="00B2523D">
        <w:rPr>
          <w:rFonts w:cs="Garamond"/>
          <w:color w:val="000000"/>
          <w:lang w:val="es-ES_tradnl"/>
        </w:rPr>
        <w:t>, todos ellos consolidados,</w:t>
      </w:r>
      <w:r w:rsidRPr="00B2523D">
        <w:rPr>
          <w:rFonts w:cs="Garamond"/>
          <w:color w:val="000000"/>
          <w:lang w:val="es-ES_tradnl"/>
        </w:rPr>
        <w:t xml:space="preserve"> correspondientes al ejercicio anual terminado en dicha fecha.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 nuestra opinión, las cuentas anuales</w:t>
      </w:r>
      <w:r w:rsidR="00C23F05" w:rsidRPr="00B2523D">
        <w:rPr>
          <w:rFonts w:cs="Garamond"/>
          <w:color w:val="000000"/>
          <w:lang w:val="es-ES_tradnl"/>
        </w:rPr>
        <w:t xml:space="preserve"> consolidadas</w:t>
      </w:r>
      <w:r w:rsidRPr="00B2523D">
        <w:rPr>
          <w:rFonts w:cs="Garamond"/>
          <w:color w:val="000000"/>
          <w:lang w:val="es-ES_tradnl"/>
        </w:rPr>
        <w:t xml:space="preserve"> adjuntas expresan, en todos los aspectos significativos, la imagen fiel del patrimonio y de la sit</w:t>
      </w:r>
      <w:r w:rsidR="00C23F05" w:rsidRPr="00B2523D">
        <w:rPr>
          <w:rFonts w:cs="Garamond"/>
          <w:color w:val="000000"/>
          <w:lang w:val="es-ES_tradnl"/>
        </w:rPr>
        <w:t>uación financiera del Grupo</w:t>
      </w:r>
      <w:r w:rsidRPr="00B2523D">
        <w:rPr>
          <w:rFonts w:cs="Garamond"/>
          <w:color w:val="000000"/>
          <w:lang w:val="es-ES_tradnl"/>
        </w:rPr>
        <w:t xml:space="preserve"> a 31 de diciembre de </w:t>
      </w:r>
      <w:r w:rsidR="008423F2" w:rsidRPr="00B2523D">
        <w:rPr>
          <w:rFonts w:cs="Garamond"/>
          <w:color w:val="000000"/>
          <w:lang w:val="es-ES_tradnl"/>
        </w:rPr>
        <w:t>2017</w:t>
      </w:r>
      <w:r w:rsidRPr="00B2523D">
        <w:rPr>
          <w:rFonts w:cs="Garamond"/>
          <w:color w:val="000000"/>
          <w:lang w:val="es-ES_tradnl"/>
        </w:rPr>
        <w:t>, así como de sus resultados</w:t>
      </w:r>
      <w:r w:rsidR="00C23F05" w:rsidRPr="00B2523D">
        <w:rPr>
          <w:rFonts w:cs="Garamond"/>
          <w:color w:val="000000"/>
          <w:lang w:val="es-ES_tradnl"/>
        </w:rPr>
        <w:t>, todos ellos consolidados,</w:t>
      </w:r>
      <w:r w:rsidR="00E50A5B" w:rsidRPr="00B2523D">
        <w:rPr>
          <w:rFonts w:cs="Garamond"/>
          <w:color w:val="000000"/>
          <w:lang w:val="es-ES_tradnl"/>
        </w:rPr>
        <w:t xml:space="preserve"> </w:t>
      </w:r>
      <w:r w:rsidRPr="00B2523D">
        <w:rPr>
          <w:rFonts w:cs="Garamond"/>
          <w:color w:val="000000"/>
          <w:lang w:val="es-ES_tradnl"/>
        </w:rPr>
        <w:t xml:space="preserve">correspondientes al ejercicio anual terminado en dicha fecha, de conformidad con el marco normativo de información financiera que resulta de aplicación (que se identifica en la nota </w:t>
      </w:r>
      <w:r w:rsidR="008423F2" w:rsidRPr="00B2523D">
        <w:rPr>
          <w:rFonts w:cs="Garamond"/>
          <w:color w:val="000000"/>
          <w:lang w:val="es-ES_tradnl"/>
        </w:rPr>
        <w:t>2</w:t>
      </w:r>
      <w:r w:rsidRPr="00B2523D">
        <w:rPr>
          <w:rFonts w:cs="Garamond"/>
          <w:color w:val="000000"/>
          <w:lang w:val="es-ES_tradnl"/>
        </w:rPr>
        <w:t xml:space="preserve"> de la memoria</w:t>
      </w:r>
      <w:r w:rsidR="00C23F05" w:rsidRPr="00B2523D">
        <w:rPr>
          <w:rFonts w:cs="Garamond"/>
          <w:color w:val="000000"/>
          <w:lang w:val="es-ES_tradnl"/>
        </w:rPr>
        <w:t xml:space="preserve"> consolidada</w:t>
      </w:r>
      <w:r w:rsidRPr="00B2523D">
        <w:rPr>
          <w:rFonts w:cs="Garamond"/>
          <w:color w:val="000000"/>
          <w:lang w:val="es-ES_tradnl"/>
        </w:rPr>
        <w:t xml:space="preserve">) y, en particular, con los principios y criterios contables contenidos en </w:t>
      </w:r>
      <w:r w:rsidRPr="00B2523D">
        <w:rPr>
          <w:rFonts w:cs="Garamond"/>
          <w:lang w:val="es-ES_tradnl"/>
        </w:rPr>
        <w:t>el mismo.</w:t>
      </w:r>
    </w:p>
    <w:p w:rsidR="004023F5" w:rsidRPr="00B2523D" w:rsidRDefault="004023F5" w:rsidP="00B2523D">
      <w:pPr>
        <w:pStyle w:val="Default"/>
        <w:spacing w:before="360"/>
        <w:rPr>
          <w:rFonts w:ascii="EYInterstate Light" w:hAnsi="EYInterstate Light" w:cs="Garamond"/>
          <w:b/>
          <w:sz w:val="22"/>
          <w:szCs w:val="22"/>
          <w:lang w:val="es-ES_tradnl"/>
        </w:rPr>
      </w:pPr>
      <w:r w:rsidRPr="00B2523D">
        <w:rPr>
          <w:rFonts w:ascii="EYInterstate Light" w:hAnsi="EYInterstate Light" w:cs="Garamond"/>
          <w:b/>
          <w:sz w:val="22"/>
          <w:szCs w:val="22"/>
          <w:lang w:val="es-ES_tradnl"/>
        </w:rPr>
        <w:t>Fundamento de la opinión</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B2523D">
        <w:rPr>
          <w:rFonts w:cs="Garamond"/>
          <w:i/>
          <w:color w:val="000000"/>
          <w:lang w:val="es-ES_tradnl"/>
        </w:rPr>
        <w:t>Responsabilidades del auditor en relación con la auditoría de las cuentas anuales</w:t>
      </w:r>
      <w:r w:rsidR="00C23F05" w:rsidRPr="00B2523D">
        <w:rPr>
          <w:rFonts w:cs="Garamond"/>
          <w:i/>
          <w:color w:val="000000"/>
          <w:lang w:val="es-ES_tradnl"/>
        </w:rPr>
        <w:t xml:space="preserve"> consolidadas</w:t>
      </w:r>
      <w:r w:rsidRPr="00B2523D">
        <w:rPr>
          <w:rFonts w:cs="Garamond"/>
          <w:color w:val="000000"/>
          <w:lang w:val="es-ES_tradnl"/>
        </w:rPr>
        <w:t xml:space="preserve"> de nuestro informe.</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Som</w:t>
      </w:r>
      <w:r w:rsidR="00C23F05" w:rsidRPr="00B2523D">
        <w:rPr>
          <w:rFonts w:cs="Garamond"/>
          <w:color w:val="000000"/>
          <w:lang w:val="es-ES_tradnl"/>
        </w:rPr>
        <w:t>os independientes del Grupo</w:t>
      </w:r>
      <w:r w:rsidRPr="00B2523D">
        <w:rPr>
          <w:rFonts w:cs="Garamond"/>
          <w:color w:val="000000"/>
          <w:lang w:val="es-ES_tradnl"/>
        </w:rPr>
        <w:t xml:space="preserve"> de conformidad con los requerimientos de ética, incluidos los de independencia, que son aplicables a nuestra auditoría de las cuentas anuales</w:t>
      </w:r>
      <w:r w:rsidR="00C23F05" w:rsidRPr="00B2523D">
        <w:rPr>
          <w:rFonts w:cs="Garamond"/>
          <w:color w:val="000000"/>
          <w:lang w:val="es-ES_tradnl"/>
        </w:rPr>
        <w:t xml:space="preserve"> consolidadas</w:t>
      </w:r>
      <w:r w:rsidRPr="00B2523D">
        <w:rPr>
          <w:rFonts w:cs="Garamond"/>
          <w:color w:val="000000"/>
          <w:lang w:val="es-ES_tradnl"/>
        </w:rPr>
        <w:t xml:space="preserve">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Consideramos que la evidencia de auditoría que hemos obtenido proporciona una base suficiente y adecuada para nuestra opinión.</w:t>
      </w:r>
    </w:p>
    <w:p w:rsidR="00943AE1" w:rsidRPr="00B2523D" w:rsidRDefault="00943AE1" w:rsidP="00B2523D">
      <w:pPr>
        <w:spacing w:after="160" w:line="240" w:lineRule="auto"/>
        <w:rPr>
          <w:rFonts w:cs="Garamond"/>
          <w:b/>
          <w:color w:val="000000"/>
          <w:lang w:val="es-ES_tradnl"/>
        </w:rPr>
      </w:pPr>
      <w:r w:rsidRPr="00B2523D">
        <w:rPr>
          <w:rFonts w:cs="Garamond"/>
          <w:b/>
          <w:color w:val="000000"/>
          <w:lang w:val="es-ES_tradnl"/>
        </w:rPr>
        <w:br w:type="page"/>
      </w:r>
    </w:p>
    <w:p w:rsidR="004023F5" w:rsidRPr="00B2523D" w:rsidRDefault="004023F5"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lastRenderedPageBreak/>
        <w:t>Aspectos más relevantes de la auditoría</w:t>
      </w:r>
    </w:p>
    <w:p w:rsidR="004023F5" w:rsidRPr="00B2523D" w:rsidRDefault="004023F5" w:rsidP="00B2523D">
      <w:pPr>
        <w:spacing w:before="240" w:after="0" w:line="240" w:lineRule="auto"/>
        <w:rPr>
          <w:color w:val="FF0000"/>
          <w:lang w:val="es-ES_tradnl"/>
        </w:rPr>
      </w:pPr>
      <w:r w:rsidRPr="00B2523D">
        <w:rPr>
          <w:rFonts w:cs="Garamond"/>
          <w:color w:val="000000"/>
          <w:lang w:val="es-ES_tradnl"/>
        </w:rPr>
        <w:t>Los aspectos más relevantes de la auditoría son aquellos que, según nuestro juicio profesional, han sido considerados como los riesgos de incorrección material más significativos en nuestra auditoría de las cuentas anuales</w:t>
      </w:r>
      <w:r w:rsidR="00C23F05" w:rsidRPr="00B2523D">
        <w:rPr>
          <w:rFonts w:cs="Garamond"/>
          <w:color w:val="000000"/>
          <w:lang w:val="es-ES_tradnl"/>
        </w:rPr>
        <w:t xml:space="preserve"> consolidadas</w:t>
      </w:r>
      <w:r w:rsidRPr="00B2523D">
        <w:rPr>
          <w:rFonts w:cs="Garamond"/>
          <w:color w:val="000000"/>
          <w:lang w:val="es-ES_tradnl"/>
        </w:rPr>
        <w:t xml:space="preserve"> del periodo actual. Estos riesgos han sido tratados en el contexto de nuestra auditoría de las cuentas anuales</w:t>
      </w:r>
      <w:r w:rsidR="009C1D71" w:rsidRPr="00B2523D">
        <w:rPr>
          <w:rFonts w:cs="Garamond"/>
          <w:color w:val="000000"/>
          <w:lang w:val="es-ES_tradnl"/>
        </w:rPr>
        <w:t xml:space="preserve"> consolidadas</w:t>
      </w:r>
      <w:r w:rsidRPr="00B2523D">
        <w:rPr>
          <w:rFonts w:cs="Garamond"/>
          <w:color w:val="000000"/>
          <w:lang w:val="es-ES_tradnl"/>
        </w:rPr>
        <w:t xml:space="preserve"> en su conjunto, y en la formación de nuestra opinión sobre é</w:t>
      </w:r>
      <w:r w:rsidR="00624F22" w:rsidRPr="00B2523D">
        <w:rPr>
          <w:rFonts w:cs="Garamond"/>
          <w:color w:val="000000"/>
          <w:lang w:val="es-ES_tradnl"/>
        </w:rPr>
        <w:t>sta</w:t>
      </w:r>
      <w:r w:rsidRPr="00B2523D">
        <w:rPr>
          <w:rFonts w:cs="Garamond"/>
          <w:color w:val="000000"/>
          <w:lang w:val="es-ES_tradnl"/>
        </w:rPr>
        <w:t xml:space="preserve">s, y no expresamos una opinión por separado sobre esos riesgos. </w:t>
      </w:r>
    </w:p>
    <w:p w:rsidR="00734F17" w:rsidRPr="00B2523D" w:rsidRDefault="00734F17" w:rsidP="00B2523D">
      <w:pPr>
        <w:spacing w:before="240" w:after="0" w:line="240" w:lineRule="auto"/>
        <w:ind w:left="567"/>
        <w:jc w:val="both"/>
        <w:rPr>
          <w:lang w:val="es-ES_tradnl"/>
        </w:rPr>
      </w:pPr>
      <w:r w:rsidRPr="00B2523D">
        <w:rPr>
          <w:b/>
          <w:bCs/>
          <w:lang w:val="es-ES_tradnl"/>
        </w:rPr>
        <w:t>Ingresos de la actividad propia y gastos por ayudas y otros</w:t>
      </w:r>
    </w:p>
    <w:p w:rsidR="00734F17" w:rsidRPr="00B2523D" w:rsidRDefault="00734F17" w:rsidP="00B2523D">
      <w:pPr>
        <w:spacing w:before="240" w:after="0" w:line="240" w:lineRule="auto"/>
        <w:ind w:left="567"/>
        <w:rPr>
          <w:lang w:val="es-ES_tradnl"/>
        </w:rPr>
      </w:pPr>
      <w:r w:rsidRPr="00B2523D">
        <w:rPr>
          <w:lang w:val="es-ES_tradnl"/>
        </w:rPr>
        <w:t xml:space="preserve">Tal y como se detalla en la nota </w:t>
      </w:r>
      <w:r w:rsidR="00E84255" w:rsidRPr="00B2523D">
        <w:rPr>
          <w:lang w:val="es-ES_tradnl"/>
        </w:rPr>
        <w:t>17.1</w:t>
      </w:r>
      <w:r w:rsidRPr="00B2523D">
        <w:rPr>
          <w:lang w:val="es-ES_tradnl"/>
        </w:rPr>
        <w:t xml:space="preserve"> de la memoria consolidada adjunta, a 31 de diciembre de 2017 el Grupo tiene registrados bajo el epígrafe de “Ingresos de la actividad propia”, los ingresos correspondientes a las donaciones y aportaciones recibidas principalmente de la </w:t>
      </w:r>
      <w:r w:rsidR="00586397">
        <w:rPr>
          <w:lang w:val="es-ES_tradnl"/>
        </w:rPr>
        <w:t>Organización Nacional de Ciegos Españoles (</w:t>
      </w:r>
      <w:r w:rsidRPr="00B2523D">
        <w:rPr>
          <w:lang w:val="es-ES_tradnl"/>
        </w:rPr>
        <w:t>ONCE</w:t>
      </w:r>
      <w:r w:rsidR="00586397">
        <w:rPr>
          <w:lang w:val="es-ES_tradnl"/>
        </w:rPr>
        <w:t>)</w:t>
      </w:r>
      <w:r w:rsidRPr="00B2523D">
        <w:rPr>
          <w:lang w:val="es-ES_tradnl"/>
        </w:rPr>
        <w:t xml:space="preserve"> y de otras instituciones públicas (fundamentalmente </w:t>
      </w:r>
      <w:r w:rsidR="004B4DBC">
        <w:rPr>
          <w:lang w:val="es-ES_tradnl"/>
        </w:rPr>
        <w:t xml:space="preserve">el </w:t>
      </w:r>
      <w:r w:rsidRPr="00B2523D">
        <w:rPr>
          <w:lang w:val="es-ES_tradnl"/>
        </w:rPr>
        <w:t xml:space="preserve">Fondo Social Europeo) por importe de </w:t>
      </w:r>
      <w:r w:rsidR="00E84255" w:rsidRPr="00B2523D">
        <w:rPr>
          <w:lang w:val="es-ES_tradnl"/>
        </w:rPr>
        <w:t>59.504 miles de</w:t>
      </w:r>
      <w:r w:rsidRPr="00B2523D">
        <w:rPr>
          <w:lang w:val="es-ES_tradnl"/>
        </w:rPr>
        <w:t xml:space="preserve"> euros y </w:t>
      </w:r>
      <w:r w:rsidR="00E84255" w:rsidRPr="00B2523D">
        <w:rPr>
          <w:lang w:val="es-ES_tradnl"/>
        </w:rPr>
        <w:t>15.939 miles de</w:t>
      </w:r>
      <w:r w:rsidRPr="00B2523D">
        <w:rPr>
          <w:lang w:val="es-ES_tradnl"/>
        </w:rPr>
        <w:t xml:space="preserve"> euros respectivamente. </w:t>
      </w:r>
    </w:p>
    <w:p w:rsidR="00734F17" w:rsidRPr="00B2523D" w:rsidRDefault="00734F17" w:rsidP="00B2523D">
      <w:pPr>
        <w:spacing w:before="240" w:after="0" w:line="240" w:lineRule="auto"/>
        <w:ind w:left="567"/>
        <w:rPr>
          <w:lang w:val="es-ES_tradnl"/>
        </w:rPr>
      </w:pPr>
      <w:r w:rsidRPr="00B2523D">
        <w:rPr>
          <w:lang w:val="es-ES_tradnl"/>
        </w:rPr>
        <w:t>Adicionalmente, bajo el epígrafe de “Gastos por ayudas y otros” se incluyen los gastos incurridos por el Grupo par</w:t>
      </w:r>
      <w:r w:rsidR="0048697D" w:rsidRPr="00B2523D">
        <w:rPr>
          <w:lang w:val="es-ES_tradnl"/>
        </w:rPr>
        <w:t xml:space="preserve">a realizar su finalidad social, </w:t>
      </w:r>
      <w:r w:rsidRPr="00B2523D">
        <w:rPr>
          <w:lang w:val="es-ES_tradnl"/>
        </w:rPr>
        <w:t xml:space="preserve">cuyo importe asciende a </w:t>
      </w:r>
      <w:r w:rsidR="0048697D" w:rsidRPr="00B2523D">
        <w:rPr>
          <w:lang w:val="es-ES_tradnl"/>
        </w:rPr>
        <w:t>51.725</w:t>
      </w:r>
      <w:r w:rsidRPr="00B2523D">
        <w:rPr>
          <w:lang w:val="es-ES_tradnl"/>
        </w:rPr>
        <w:t xml:space="preserve"> euros, y que son el destino fundamental de los ingresos recibidos comentados en el párrafo anterior, </w:t>
      </w:r>
      <w:bookmarkStart w:id="0" w:name="_GoBack"/>
      <w:bookmarkEnd w:id="0"/>
      <w:r w:rsidRPr="00B2523D">
        <w:rPr>
          <w:lang w:val="es-ES_tradnl"/>
        </w:rPr>
        <w:t>de acuerdo a su actividad fundacional.</w:t>
      </w:r>
    </w:p>
    <w:p w:rsidR="00734F17" w:rsidRPr="00B2523D" w:rsidRDefault="00734F17" w:rsidP="00B2523D">
      <w:pPr>
        <w:spacing w:before="240" w:after="0" w:line="240" w:lineRule="auto"/>
        <w:ind w:left="567"/>
        <w:rPr>
          <w:lang w:val="es-ES_tradnl"/>
        </w:rPr>
      </w:pPr>
      <w:r w:rsidRPr="00B2523D">
        <w:rPr>
          <w:lang w:val="es-ES_tradnl"/>
        </w:rPr>
        <w:t>Además tal y como se detalla en la</w:t>
      </w:r>
      <w:r w:rsidR="0048697D" w:rsidRPr="00B2523D">
        <w:rPr>
          <w:lang w:val="es-ES_tradnl"/>
        </w:rPr>
        <w:t>s</w:t>
      </w:r>
      <w:r w:rsidRPr="00B2523D">
        <w:rPr>
          <w:lang w:val="es-ES_tradnl"/>
        </w:rPr>
        <w:t xml:space="preserve"> nota</w:t>
      </w:r>
      <w:r w:rsidR="0048697D" w:rsidRPr="00B2523D">
        <w:rPr>
          <w:lang w:val="es-ES_tradnl"/>
        </w:rPr>
        <w:t>s</w:t>
      </w:r>
      <w:r w:rsidRPr="00B2523D">
        <w:rPr>
          <w:lang w:val="es-ES_tradnl"/>
        </w:rPr>
        <w:t xml:space="preserve"> </w:t>
      </w:r>
      <w:r w:rsidR="0048697D" w:rsidRPr="00B2523D">
        <w:rPr>
          <w:lang w:val="es-ES_tradnl"/>
        </w:rPr>
        <w:t>16.2 y 18.1</w:t>
      </w:r>
      <w:r w:rsidRPr="00B2523D">
        <w:rPr>
          <w:lang w:val="es-ES_tradnl"/>
        </w:rPr>
        <w:t xml:space="preserve"> de la memoria consolidada adjunta, a 31 de diciembre de 2017 el Grupo tiene registrados, bajo los epígrafes “Usuarios y otros deudores de la actividad propia: ONCE, deudora por aportaciones y Otros usuarios y deudores de la actividad propia” importes de </w:t>
      </w:r>
      <w:r w:rsidR="0048697D" w:rsidRPr="00B2523D">
        <w:rPr>
          <w:lang w:val="es-ES_tradnl"/>
        </w:rPr>
        <w:t>24.272 miles de</w:t>
      </w:r>
      <w:r w:rsidRPr="00B2523D">
        <w:rPr>
          <w:lang w:val="es-ES_tradnl"/>
        </w:rPr>
        <w:t xml:space="preserve"> euros y </w:t>
      </w:r>
      <w:r w:rsidR="0048697D" w:rsidRPr="00B2523D">
        <w:rPr>
          <w:lang w:val="es-ES_tradnl"/>
        </w:rPr>
        <w:t xml:space="preserve">40.843 miles de </w:t>
      </w:r>
      <w:r w:rsidRPr="00B2523D">
        <w:rPr>
          <w:lang w:val="es-ES_tradnl"/>
        </w:rPr>
        <w:t xml:space="preserve">euros respectivamente, correspondientes a las </w:t>
      </w:r>
      <w:r w:rsidR="00C71B9E">
        <w:rPr>
          <w:lang w:val="es-ES_tradnl"/>
        </w:rPr>
        <w:t xml:space="preserve">partidas pendientes de cobro </w:t>
      </w:r>
      <w:r w:rsidR="00C71B9E" w:rsidRPr="000F5EB8">
        <w:rPr>
          <w:lang w:val="es-ES_tradnl"/>
        </w:rPr>
        <w:t xml:space="preserve">de las distintas entidades que aportan fondos </w:t>
      </w:r>
      <w:r w:rsidRPr="000F5EB8">
        <w:rPr>
          <w:lang w:val="es-ES_tradnl"/>
        </w:rPr>
        <w:t>al</w:t>
      </w:r>
      <w:r w:rsidRPr="00B2523D">
        <w:rPr>
          <w:lang w:val="es-ES_tradnl"/>
        </w:rPr>
        <w:t xml:space="preserve"> Grupo. Por otro lado y bajo el epígrafe de “Beneficiarios-Acreedores” tiene registrado un importe de </w:t>
      </w:r>
      <w:r w:rsidR="0048697D" w:rsidRPr="00B2523D">
        <w:rPr>
          <w:lang w:val="es-ES_tradnl"/>
        </w:rPr>
        <w:t>57.844 miles de</w:t>
      </w:r>
      <w:r w:rsidRPr="00B2523D">
        <w:rPr>
          <w:lang w:val="es-ES_tradnl"/>
        </w:rPr>
        <w:t xml:space="preserve"> euros </w:t>
      </w:r>
      <w:r w:rsidR="0048697D" w:rsidRPr="00B2523D">
        <w:rPr>
          <w:lang w:val="es-ES_tradnl"/>
        </w:rPr>
        <w:t>correspondiente a las</w:t>
      </w:r>
      <w:r w:rsidRPr="00B2523D">
        <w:rPr>
          <w:lang w:val="es-ES_tradnl"/>
        </w:rPr>
        <w:t xml:space="preserve"> partidas pendientes de pago a los distintos beneficiarios - acreedores cuyas ayudas son concedidas por el Grupo.</w:t>
      </w:r>
    </w:p>
    <w:p w:rsidR="00734F17" w:rsidRPr="00B2523D" w:rsidRDefault="00734F17" w:rsidP="00B2523D">
      <w:pPr>
        <w:spacing w:before="240" w:after="0" w:line="240" w:lineRule="auto"/>
        <w:ind w:left="567"/>
        <w:rPr>
          <w:lang w:val="es-ES_tradnl"/>
        </w:rPr>
      </w:pPr>
      <w:r w:rsidRPr="00B2523D">
        <w:rPr>
          <w:lang w:val="es-ES_tradnl"/>
        </w:rPr>
        <w:t>El registro de dichos ingresos y gastos</w:t>
      </w:r>
      <w:r w:rsidR="00B2523D">
        <w:rPr>
          <w:lang w:val="es-ES_tradnl"/>
        </w:rPr>
        <w:t xml:space="preserve"> </w:t>
      </w:r>
      <w:r w:rsidRPr="00B2523D">
        <w:rPr>
          <w:lang w:val="es-ES_tradnl"/>
        </w:rPr>
        <w:t>de acuerdo a su devengo así como la realización de los activos y la liquidación de los pasivos, ha sido considerado uno de los asuntos más relevante de auditoría debido a lo relevante de los importes, al volumen de transacciones y a que constituyen</w:t>
      </w:r>
      <w:r w:rsidR="00586397">
        <w:rPr>
          <w:lang w:val="es-ES_tradnl"/>
        </w:rPr>
        <w:t xml:space="preserve"> una de las</w:t>
      </w:r>
      <w:r w:rsidRPr="00B2523D">
        <w:rPr>
          <w:lang w:val="es-ES_tradnl"/>
        </w:rPr>
        <w:t xml:space="preserve"> la actividad</w:t>
      </w:r>
      <w:r w:rsidR="00586397">
        <w:rPr>
          <w:lang w:val="es-ES_tradnl"/>
        </w:rPr>
        <w:t>es</w:t>
      </w:r>
      <w:r w:rsidRPr="00B2523D">
        <w:rPr>
          <w:lang w:val="es-ES_tradnl"/>
        </w:rPr>
        <w:t xml:space="preserve"> principal</w:t>
      </w:r>
      <w:r w:rsidR="00586397">
        <w:rPr>
          <w:lang w:val="es-ES_tradnl"/>
        </w:rPr>
        <w:t>es</w:t>
      </w:r>
      <w:r w:rsidRPr="00B2523D">
        <w:rPr>
          <w:lang w:val="es-ES_tradnl"/>
        </w:rPr>
        <w:t xml:space="preserve"> del Grupo.</w:t>
      </w:r>
    </w:p>
    <w:p w:rsidR="00734F17" w:rsidRPr="00B2523D" w:rsidRDefault="00734F17" w:rsidP="00B2523D">
      <w:pPr>
        <w:spacing w:before="240" w:after="0" w:line="240" w:lineRule="auto"/>
        <w:ind w:left="567"/>
        <w:rPr>
          <w:lang w:val="es-ES_tradnl"/>
        </w:rPr>
      </w:pPr>
      <w:r w:rsidRPr="00B2523D">
        <w:rPr>
          <w:lang w:val="es-ES_tradnl"/>
        </w:rPr>
        <w:t>En relación con esta área, nuestros procedimientos de auditoría han incluido, entre otros:</w:t>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t>La obtención de conocimiento sobre el entorno de control del Grupo así como la revisión del cumplimiento de los procedimientos y controles implantados.</w:t>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t xml:space="preserve">La revisión de la documentación acreditativa de la concesión de la ayuda por parte del Fondo Social Europeo y ONCE así como la justificación de las ayudas concedidas. </w:t>
      </w:r>
    </w:p>
    <w:p w:rsidR="00CF2711" w:rsidRPr="00B2523D" w:rsidRDefault="00CF2711" w:rsidP="00B2523D">
      <w:pPr>
        <w:spacing w:after="160" w:line="240" w:lineRule="auto"/>
        <w:rPr>
          <w:lang w:val="es-ES_tradnl"/>
        </w:rPr>
      </w:pPr>
      <w:r w:rsidRPr="00B2523D">
        <w:rPr>
          <w:lang w:val="es-ES_tradnl"/>
        </w:rPr>
        <w:br w:type="page"/>
      </w:r>
    </w:p>
    <w:p w:rsidR="00734F17" w:rsidRPr="00B2523D" w:rsidRDefault="00734F17" w:rsidP="00B2523D">
      <w:pPr>
        <w:numPr>
          <w:ilvl w:val="0"/>
          <w:numId w:val="26"/>
        </w:numPr>
        <w:tabs>
          <w:tab w:val="clear" w:pos="720"/>
        </w:tabs>
        <w:spacing w:before="240" w:after="0" w:line="240" w:lineRule="auto"/>
        <w:ind w:left="1134" w:hanging="567"/>
        <w:rPr>
          <w:lang w:val="es-ES_tradnl"/>
        </w:rPr>
      </w:pPr>
      <w:r w:rsidRPr="00B2523D">
        <w:rPr>
          <w:lang w:val="es-ES_tradnl"/>
        </w:rPr>
        <w:lastRenderedPageBreak/>
        <w:t>La revisión de la documentación soporte justificativa de los expedientes de los proyectos y de la aplicación de las ayudas monetarias realizadas</w:t>
      </w:r>
    </w:p>
    <w:p w:rsidR="00734F17" w:rsidRPr="00B2523D" w:rsidRDefault="00734F17" w:rsidP="00B2523D">
      <w:pPr>
        <w:pStyle w:val="IFACListStyle1"/>
        <w:numPr>
          <w:ilvl w:val="0"/>
          <w:numId w:val="0"/>
        </w:numPr>
        <w:spacing w:before="240" w:line="240" w:lineRule="auto"/>
        <w:ind w:left="567"/>
        <w:jc w:val="left"/>
        <w:rPr>
          <w:rFonts w:ascii="EYInterstate Light" w:eastAsiaTheme="minorEastAsia" w:hAnsi="EYInterstate Light" w:cs="Garamond"/>
          <w:b/>
          <w:color w:val="000000"/>
          <w:kern w:val="0"/>
          <w:sz w:val="22"/>
          <w:szCs w:val="22"/>
          <w:lang w:val="es-ES_tradnl" w:bidi="ar-SA"/>
        </w:rPr>
      </w:pPr>
      <w:r w:rsidRPr="00B2523D">
        <w:rPr>
          <w:rFonts w:ascii="EYInterstate Light" w:eastAsiaTheme="minorEastAsia" w:hAnsi="EYInterstate Light" w:cs="Garamond"/>
          <w:b/>
          <w:color w:val="000000"/>
          <w:kern w:val="0"/>
          <w:sz w:val="22"/>
          <w:szCs w:val="22"/>
          <w:lang w:val="es-ES_tradnl" w:bidi="ar-SA"/>
        </w:rPr>
        <w:t>Subvenciones – Centro</w:t>
      </w:r>
      <w:r w:rsidR="00340A3A" w:rsidRPr="00B2523D">
        <w:rPr>
          <w:rFonts w:ascii="EYInterstate Light" w:eastAsiaTheme="minorEastAsia" w:hAnsi="EYInterstate Light" w:cs="Garamond"/>
          <w:b/>
          <w:color w:val="000000"/>
          <w:kern w:val="0"/>
          <w:sz w:val="22"/>
          <w:szCs w:val="22"/>
          <w:lang w:val="es-ES_tradnl" w:bidi="ar-SA"/>
        </w:rPr>
        <w:t>s</w:t>
      </w:r>
      <w:r w:rsidRPr="00B2523D">
        <w:rPr>
          <w:rFonts w:ascii="EYInterstate Light" w:eastAsiaTheme="minorEastAsia" w:hAnsi="EYInterstate Light" w:cs="Garamond"/>
          <w:b/>
          <w:color w:val="000000"/>
          <w:kern w:val="0"/>
          <w:sz w:val="22"/>
          <w:szCs w:val="22"/>
          <w:lang w:val="es-ES_tradnl" w:bidi="ar-SA"/>
        </w:rPr>
        <w:t xml:space="preserve"> Especial</w:t>
      </w:r>
      <w:r w:rsidR="00340A3A" w:rsidRPr="00B2523D">
        <w:rPr>
          <w:rFonts w:ascii="EYInterstate Light" w:eastAsiaTheme="minorEastAsia" w:hAnsi="EYInterstate Light" w:cs="Garamond"/>
          <w:b/>
          <w:color w:val="000000"/>
          <w:kern w:val="0"/>
          <w:sz w:val="22"/>
          <w:szCs w:val="22"/>
          <w:lang w:val="es-ES_tradnl" w:bidi="ar-SA"/>
        </w:rPr>
        <w:t>es</w:t>
      </w:r>
      <w:r w:rsidRPr="00B2523D">
        <w:rPr>
          <w:rFonts w:ascii="EYInterstate Light" w:eastAsiaTheme="minorEastAsia" w:hAnsi="EYInterstate Light" w:cs="Garamond"/>
          <w:b/>
          <w:color w:val="000000"/>
          <w:kern w:val="0"/>
          <w:sz w:val="22"/>
          <w:szCs w:val="22"/>
          <w:lang w:val="es-ES_tradnl" w:bidi="ar-SA"/>
        </w:rPr>
        <w:t xml:space="preserve"> de Empleo</w:t>
      </w:r>
    </w:p>
    <w:p w:rsidR="00734F17" w:rsidRPr="00B2523D" w:rsidRDefault="00734F17" w:rsidP="00B2523D">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Dado el elevado número de personas con discapacidad que tiene contratadas el Grupo, una gran parte de los centros de trabajo del mismo, han sido declarados como “Centro Especial de Empleo”, por lo que reciben determinadas subvenciones por los trabajadores con discapacidad en su plantilla.</w:t>
      </w:r>
    </w:p>
    <w:p w:rsidR="006F3860" w:rsidRDefault="006F3860" w:rsidP="006F3860">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color w:val="000000"/>
          <w:kern w:val="0"/>
          <w:sz w:val="22"/>
          <w:szCs w:val="22"/>
          <w:lang w:val="es-ES_tradnl" w:bidi="ar-SA"/>
        </w:rPr>
      </w:pPr>
    </w:p>
    <w:p w:rsidR="006F3860" w:rsidRPr="001C147A" w:rsidRDefault="006F3860" w:rsidP="006F3860">
      <w:pPr>
        <w:pStyle w:val="IFACListStyle1"/>
        <w:numPr>
          <w:ilvl w:val="0"/>
          <w:numId w:val="0"/>
        </w:numPr>
        <w:tabs>
          <w:tab w:val="clear" w:pos="547"/>
          <w:tab w:val="left" w:pos="0"/>
        </w:tabs>
        <w:spacing w:before="0" w:line="240" w:lineRule="auto"/>
        <w:ind w:left="567"/>
        <w:jc w:val="left"/>
        <w:rPr>
          <w:rFonts w:ascii="EYInterstate Light" w:eastAsiaTheme="minorEastAsia" w:hAnsi="EYInterstate Light" w:cs="Garamond"/>
          <w:color w:val="000000"/>
          <w:kern w:val="0"/>
          <w:sz w:val="22"/>
          <w:szCs w:val="22"/>
          <w:lang w:val="es-ES_tradnl" w:bidi="ar-SA"/>
        </w:rPr>
      </w:pPr>
      <w:r w:rsidRPr="001C147A">
        <w:rPr>
          <w:rFonts w:ascii="EYInterstate Light" w:eastAsiaTheme="minorEastAsia" w:hAnsi="EYInterstate Light" w:cs="Garamond"/>
          <w:color w:val="000000"/>
          <w:kern w:val="0"/>
          <w:sz w:val="22"/>
          <w:szCs w:val="22"/>
          <w:lang w:val="es-ES_tradnl" w:bidi="ar-SA"/>
        </w:rPr>
        <w:t xml:space="preserve">Tal y como se </w:t>
      </w:r>
      <w:r>
        <w:rPr>
          <w:rFonts w:ascii="EYInterstate Light" w:eastAsiaTheme="minorEastAsia" w:hAnsi="EYInterstate Light" w:cs="Garamond"/>
          <w:color w:val="000000"/>
          <w:kern w:val="0"/>
          <w:sz w:val="22"/>
          <w:szCs w:val="22"/>
          <w:lang w:val="es-ES_tradnl" w:bidi="ar-SA"/>
        </w:rPr>
        <w:t>detalla en las notas 16.1 y 17.5</w:t>
      </w:r>
      <w:r w:rsidRPr="001C147A">
        <w:rPr>
          <w:rFonts w:ascii="EYInterstate Light" w:eastAsiaTheme="minorEastAsia" w:hAnsi="EYInterstate Light" w:cs="Garamond"/>
          <w:color w:val="000000"/>
          <w:kern w:val="0"/>
          <w:sz w:val="22"/>
          <w:szCs w:val="22"/>
          <w:lang w:val="es-ES_tradnl" w:bidi="ar-SA"/>
        </w:rPr>
        <w:t xml:space="preserve"> de la memoria consolidada adjunta, a 31 de diciembre de 2017 el Grupo tiene registrados bajo el epígrafe del balance consolidado adjunto “Administraciones Públicas” del activo corriente, los importes pendientes de cobro correspondientes a dichas subvenciones </w:t>
      </w:r>
      <w:r w:rsidRPr="002E5788">
        <w:rPr>
          <w:rFonts w:ascii="EYInterstate Light" w:eastAsiaTheme="minorEastAsia" w:hAnsi="EYInterstate Light" w:cs="Garamond"/>
          <w:color w:val="000000"/>
          <w:kern w:val="0"/>
          <w:sz w:val="22"/>
          <w:szCs w:val="22"/>
          <w:lang w:val="es-ES_tradnl" w:bidi="ar-SA"/>
        </w:rPr>
        <w:t>y, bajo el epígrafe de la cuenta de pérdidas y ganancias consolidada adjunta “Subvenciones de explotación incorporadas al resultado del ejercicio”, los ingresos reconocidos en el ejercicio</w:t>
      </w:r>
      <w:r w:rsidRPr="001C147A">
        <w:rPr>
          <w:rFonts w:ascii="EYInterstate Light" w:eastAsiaTheme="minorEastAsia" w:hAnsi="EYInterstate Light" w:cs="Garamond"/>
          <w:color w:val="000000"/>
          <w:kern w:val="0"/>
          <w:sz w:val="22"/>
          <w:szCs w:val="22"/>
          <w:lang w:val="es-ES_tradnl" w:bidi="ar-SA"/>
        </w:rPr>
        <w:t>. El registro de dichos ingresos, constituye uno de los aspectos más relevantes de nuestra auditoría.</w:t>
      </w:r>
    </w:p>
    <w:p w:rsidR="00734F17" w:rsidRPr="00B2523D" w:rsidRDefault="00734F17" w:rsidP="00B2523D">
      <w:pPr>
        <w:pStyle w:val="IFACListStyle1"/>
        <w:numPr>
          <w:ilvl w:val="0"/>
          <w:numId w:val="0"/>
        </w:numPr>
        <w:tabs>
          <w:tab w:val="clear" w:pos="547"/>
          <w:tab w:val="left" w:pos="0"/>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En relación con esta área, nuestros procedimientos de auditoría han incluido, entre otros:</w:t>
      </w:r>
    </w:p>
    <w:p w:rsidR="00734F17" w:rsidRPr="00B2523D" w:rsidRDefault="003A55CE" w:rsidP="00B2523D">
      <w:pPr>
        <w:numPr>
          <w:ilvl w:val="0"/>
          <w:numId w:val="26"/>
        </w:numPr>
        <w:tabs>
          <w:tab w:val="clear" w:pos="720"/>
        </w:tabs>
        <w:spacing w:before="240" w:after="0" w:line="240" w:lineRule="auto"/>
        <w:ind w:left="1134" w:hanging="567"/>
        <w:rPr>
          <w:lang w:val="es-ES_tradnl"/>
        </w:rPr>
      </w:pPr>
      <w:r>
        <w:rPr>
          <w:rFonts w:cs="Garamond"/>
          <w:color w:val="000000"/>
          <w:lang w:val="es-ES_tradnl"/>
        </w:rPr>
        <w:t>E</w:t>
      </w:r>
      <w:r w:rsidR="00734F17" w:rsidRPr="00B2523D">
        <w:rPr>
          <w:rFonts w:cs="Garamond"/>
          <w:color w:val="000000"/>
          <w:lang w:val="es-ES_tradnl"/>
        </w:rPr>
        <w:t xml:space="preserve">l </w:t>
      </w:r>
      <w:r w:rsidR="00734F17" w:rsidRPr="00B2523D">
        <w:rPr>
          <w:lang w:val="es-ES_tradnl"/>
        </w:rPr>
        <w:t xml:space="preserve">entendimiento de las políticas y procedimientos de reconocimiento de ingresos, así como su aplicación. </w:t>
      </w:r>
    </w:p>
    <w:p w:rsidR="00734F17" w:rsidRPr="00B2523D" w:rsidRDefault="003A55CE" w:rsidP="00B2523D">
      <w:pPr>
        <w:numPr>
          <w:ilvl w:val="0"/>
          <w:numId w:val="26"/>
        </w:numPr>
        <w:tabs>
          <w:tab w:val="clear" w:pos="720"/>
        </w:tabs>
        <w:spacing w:before="240" w:after="0" w:line="240" w:lineRule="auto"/>
        <w:ind w:left="1134" w:hanging="567"/>
        <w:rPr>
          <w:lang w:val="es-ES_tradnl"/>
        </w:rPr>
      </w:pPr>
      <w:r>
        <w:rPr>
          <w:lang w:val="es-ES_tradnl"/>
        </w:rPr>
        <w:t>H</w:t>
      </w:r>
      <w:r w:rsidR="00734F17" w:rsidRPr="00B2523D">
        <w:rPr>
          <w:lang w:val="es-ES_tradnl"/>
        </w:rPr>
        <w:t xml:space="preserve">emos solicitado y revisado la documentación soporte justificativa de las subvenciones y, en su caso, las resoluciones firmadas por el Organismo concedente, analizando su correcta contabilización. </w:t>
      </w:r>
    </w:p>
    <w:p w:rsidR="00734F17" w:rsidRPr="00B2523D" w:rsidRDefault="003A55CE" w:rsidP="00B2523D">
      <w:pPr>
        <w:numPr>
          <w:ilvl w:val="0"/>
          <w:numId w:val="26"/>
        </w:numPr>
        <w:tabs>
          <w:tab w:val="clear" w:pos="720"/>
        </w:tabs>
        <w:spacing w:before="240" w:after="0" w:line="240" w:lineRule="auto"/>
        <w:ind w:left="1134" w:hanging="567"/>
        <w:rPr>
          <w:rFonts w:cs="Garamond"/>
          <w:color w:val="000000"/>
          <w:lang w:val="es-ES_tradnl"/>
        </w:rPr>
      </w:pPr>
      <w:r>
        <w:rPr>
          <w:lang w:val="es-ES_tradnl"/>
        </w:rPr>
        <w:t>E</w:t>
      </w:r>
      <w:r w:rsidR="00734F17" w:rsidRPr="00B2523D">
        <w:rPr>
          <w:lang w:val="es-ES_tradnl"/>
        </w:rPr>
        <w:t>l análisis</w:t>
      </w:r>
      <w:r w:rsidR="00734F17" w:rsidRPr="00B2523D">
        <w:rPr>
          <w:rFonts w:cs="Garamond"/>
          <w:color w:val="000000"/>
          <w:lang w:val="es-ES_tradnl"/>
        </w:rPr>
        <w:t xml:space="preserve"> de la cobrabilidad de las subvenciones concedidas. </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b/>
          <w:color w:val="000000"/>
          <w:kern w:val="0"/>
          <w:sz w:val="22"/>
          <w:szCs w:val="22"/>
          <w:lang w:val="es-ES_tradnl" w:bidi="ar-SA"/>
        </w:rPr>
      </w:pPr>
      <w:proofErr w:type="spellStart"/>
      <w:r w:rsidRPr="00B2523D">
        <w:rPr>
          <w:rFonts w:ascii="EYInterstate Light" w:eastAsiaTheme="minorEastAsia" w:hAnsi="EYInterstate Light" w:cs="Garamond"/>
          <w:b/>
          <w:color w:val="000000"/>
          <w:kern w:val="0"/>
          <w:sz w:val="22"/>
          <w:szCs w:val="22"/>
          <w:lang w:val="es-ES_tradnl" w:bidi="ar-SA"/>
        </w:rPr>
        <w:t>Recuperabilidad</w:t>
      </w:r>
      <w:proofErr w:type="spellEnd"/>
      <w:r w:rsidRPr="00B2523D">
        <w:rPr>
          <w:rFonts w:ascii="EYInterstate Light" w:eastAsiaTheme="minorEastAsia" w:hAnsi="EYInterstate Light" w:cs="Garamond"/>
          <w:b/>
          <w:color w:val="000000"/>
          <w:kern w:val="0"/>
          <w:sz w:val="22"/>
          <w:szCs w:val="22"/>
          <w:lang w:val="es-ES_tradnl" w:bidi="ar-SA"/>
        </w:rPr>
        <w:t xml:space="preserve"> de activos por impuestos diferidos</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El Grupo tiene registrados a 31 de diciembre de 2017, activos por impuesto diferido por importe de 39.282 miles de euros. Para determinar el valor recuperable de estos activos, la Dirección del Grupo evalúa la capacidad de generar beneficios fiscales futuros según el plan estratégico, considerando aquellas sociedades que conforman el Grupo. La Dirección del Grupo, revisa en cada cierre del ejercicio los activos por impuesto diferido registrados y los reconoce en la medida que se convierta en probable que el beneficio fiscal futuro permita su recuperación. Hemos considerado esta área como uno de los aspectos más relevantes de nuestra auditoría debido a que los análisis realizados por la Dirección del Grupo requieren la realización de estimaciones y juicios complejos acerca de los beneficios fiscales futuros de las sociedades del Grupo.</w:t>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La información relacionada con los activos por impuesto diferido así como el detalle de los mismos, se encuentra recogida en la nota 16 de la memoria consolidada adjunta. Asimismo, en la nota 4.1</w:t>
      </w:r>
      <w:r w:rsidR="00897019" w:rsidRPr="00B2523D">
        <w:rPr>
          <w:rFonts w:ascii="EYInterstate Light" w:eastAsiaTheme="minorEastAsia" w:hAnsi="EYInterstate Light" w:cs="Garamond"/>
          <w:color w:val="000000"/>
          <w:kern w:val="0"/>
          <w:sz w:val="22"/>
          <w:szCs w:val="22"/>
          <w:lang w:val="es-ES_tradnl" w:bidi="ar-SA"/>
        </w:rPr>
        <w:t>2</w:t>
      </w:r>
      <w:r w:rsidRPr="00B2523D">
        <w:rPr>
          <w:rFonts w:ascii="EYInterstate Light" w:eastAsiaTheme="minorEastAsia" w:hAnsi="EYInterstate Light" w:cs="Garamond"/>
          <w:color w:val="000000"/>
          <w:kern w:val="0"/>
          <w:sz w:val="22"/>
          <w:szCs w:val="22"/>
          <w:lang w:val="es-ES_tradnl" w:bidi="ar-SA"/>
        </w:rPr>
        <w:t xml:space="preserve"> de la memoria consolidada adjunta se señalan las normas de registro y valoración de estos activos.</w:t>
      </w:r>
    </w:p>
    <w:p w:rsidR="00B2523D" w:rsidRPr="00B2523D" w:rsidRDefault="00B2523D" w:rsidP="00B2523D">
      <w:pPr>
        <w:spacing w:after="0" w:line="240" w:lineRule="auto"/>
        <w:rPr>
          <w:rFonts w:cs="Garamond"/>
          <w:color w:val="000000"/>
          <w:sz w:val="2"/>
          <w:lang w:val="es-ES_tradnl"/>
        </w:rPr>
      </w:pPr>
      <w:r w:rsidRPr="00B2523D">
        <w:rPr>
          <w:rFonts w:cs="Garamond"/>
          <w:color w:val="000000"/>
          <w:sz w:val="2"/>
          <w:lang w:val="es-ES_tradnl"/>
        </w:rPr>
        <w:br w:type="page"/>
      </w:r>
    </w:p>
    <w:p w:rsidR="00340A3A" w:rsidRPr="00B2523D" w:rsidRDefault="00340A3A" w:rsidP="00B2523D">
      <w:pPr>
        <w:pStyle w:val="IFACListStyle1"/>
        <w:numPr>
          <w:ilvl w:val="0"/>
          <w:numId w:val="0"/>
        </w:numPr>
        <w:tabs>
          <w:tab w:val="clear" w:pos="547"/>
        </w:tabs>
        <w:spacing w:before="240" w:line="240" w:lineRule="auto"/>
        <w:ind w:left="567"/>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lastRenderedPageBreak/>
        <w:t>En relación con esta área, nuestros procedimientos de auditoría han incluido, entre otros:</w:t>
      </w:r>
    </w:p>
    <w:p w:rsidR="00340A3A" w:rsidRPr="00B2523D" w:rsidRDefault="00340A3A" w:rsidP="00B2523D">
      <w:pPr>
        <w:pStyle w:val="ListParagraph"/>
        <w:numPr>
          <w:ilvl w:val="0"/>
          <w:numId w:val="25"/>
        </w:numPr>
        <w:tabs>
          <w:tab w:val="left" w:pos="1134"/>
        </w:tabs>
        <w:spacing w:before="240" w:after="0" w:line="240" w:lineRule="auto"/>
        <w:ind w:left="1134" w:hanging="567"/>
        <w:contextualSpacing w:val="0"/>
        <w:rPr>
          <w:rFonts w:cs="Garamond"/>
          <w:color w:val="000000"/>
          <w:lang w:val="es-ES_tradnl"/>
        </w:rPr>
      </w:pPr>
      <w:r w:rsidRPr="00B2523D">
        <w:rPr>
          <w:rFonts w:cs="Garamond"/>
          <w:color w:val="000000"/>
          <w:lang w:val="es-ES_tradnl"/>
        </w:rPr>
        <w:t>La revisión de la razonabilidad de la metodología empleada por la Dirección del Grupo y la construcción de las proyecciones económicas utilizadas, considerando la información financiera histórica y presupuestaria.</w:t>
      </w:r>
    </w:p>
    <w:p w:rsidR="00340A3A" w:rsidRPr="00B2523D" w:rsidRDefault="00340A3A" w:rsidP="00B2523D">
      <w:pPr>
        <w:pStyle w:val="ListParagraph"/>
        <w:numPr>
          <w:ilvl w:val="0"/>
          <w:numId w:val="25"/>
        </w:numPr>
        <w:tabs>
          <w:tab w:val="left" w:pos="1134"/>
        </w:tabs>
        <w:spacing w:before="240" w:after="0" w:line="240" w:lineRule="auto"/>
        <w:ind w:left="1134" w:hanging="567"/>
        <w:contextualSpacing w:val="0"/>
        <w:rPr>
          <w:rFonts w:cs="Garamond"/>
          <w:color w:val="000000"/>
          <w:lang w:val="es-ES_tradnl"/>
        </w:rPr>
      </w:pPr>
      <w:r w:rsidRPr="00B2523D">
        <w:rPr>
          <w:rFonts w:cs="Garamond"/>
          <w:color w:val="000000"/>
          <w:lang w:val="es-ES_tradnl"/>
        </w:rPr>
        <w:t xml:space="preserve">Adicionalmente, hemos mantenido reuniones con la Dirección del Grupo considerando, en nuestro análisis, la posición </w:t>
      </w:r>
      <w:r w:rsidR="00586397">
        <w:rPr>
          <w:rFonts w:cs="Garamond"/>
          <w:color w:val="000000"/>
          <w:lang w:val="es-ES_tradnl"/>
        </w:rPr>
        <w:t xml:space="preserve">fiscal </w:t>
      </w:r>
      <w:r w:rsidRPr="00B2523D">
        <w:rPr>
          <w:rFonts w:cs="Garamond"/>
          <w:color w:val="000000"/>
          <w:lang w:val="es-ES_tradnl"/>
        </w:rPr>
        <w:t>del grupo, el periodo de proyección futuro de bases imponibles positivas y la legislación fiscal vigente.</w:t>
      </w:r>
    </w:p>
    <w:p w:rsidR="00734F17" w:rsidRPr="00B2523D" w:rsidRDefault="00734F17" w:rsidP="00B2523D">
      <w:pPr>
        <w:pStyle w:val="IFACListStyle1"/>
        <w:numPr>
          <w:ilvl w:val="0"/>
          <w:numId w:val="0"/>
        </w:numPr>
        <w:spacing w:before="360" w:line="240" w:lineRule="auto"/>
        <w:jc w:val="left"/>
        <w:rPr>
          <w:rFonts w:ascii="EYInterstate Light" w:eastAsiaTheme="minorEastAsia" w:hAnsi="EYInterstate Light" w:cs="Garamond"/>
          <w:b/>
          <w:color w:val="000000"/>
          <w:kern w:val="0"/>
          <w:sz w:val="22"/>
          <w:szCs w:val="22"/>
          <w:lang w:val="es-ES_tradnl" w:bidi="ar-SA"/>
        </w:rPr>
      </w:pPr>
      <w:r w:rsidRPr="00B2523D">
        <w:rPr>
          <w:rFonts w:ascii="EYInterstate Light" w:eastAsiaTheme="minorEastAsia" w:hAnsi="EYInterstate Light" w:cs="Garamond"/>
          <w:b/>
          <w:color w:val="000000"/>
          <w:kern w:val="0"/>
          <w:sz w:val="22"/>
          <w:szCs w:val="22"/>
          <w:lang w:val="es-ES_tradnl" w:bidi="ar-SA"/>
        </w:rPr>
        <w:t>Reconocimiento de ingresos</w:t>
      </w:r>
    </w:p>
    <w:p w:rsidR="00734F17" w:rsidRPr="00B2523D" w:rsidRDefault="00734F17" w:rsidP="00B2523D">
      <w:pPr>
        <w:spacing w:before="240" w:after="160" w:line="240" w:lineRule="auto"/>
        <w:rPr>
          <w:rFonts w:cs="Garamond"/>
          <w:color w:val="000000"/>
          <w:lang w:val="es-ES_tradnl"/>
        </w:rPr>
      </w:pPr>
      <w:r w:rsidRPr="00B2523D">
        <w:rPr>
          <w:rFonts w:cs="Garamond"/>
          <w:color w:val="000000"/>
          <w:lang w:val="es-ES_tradnl"/>
        </w:rPr>
        <w:t xml:space="preserve">Tal y como se indica en la nota 1 de la memoria consolidada adjunta, </w:t>
      </w:r>
      <w:r w:rsidR="000718CA" w:rsidRPr="000718CA">
        <w:rPr>
          <w:rFonts w:cs="Garamond"/>
          <w:color w:val="000000"/>
          <w:lang w:val="es-ES_tradnl"/>
        </w:rPr>
        <w:t xml:space="preserve">las sociedades que componen el Grupo ILUNION, S.L. prestan distintas modalidades de </w:t>
      </w:r>
      <w:r w:rsidR="000718CA">
        <w:rPr>
          <w:rFonts w:cs="Garamond"/>
          <w:color w:val="000000"/>
          <w:lang w:val="es-ES_tradnl"/>
        </w:rPr>
        <w:t xml:space="preserve">servicios, </w:t>
      </w:r>
      <w:r w:rsidR="000718CA" w:rsidRPr="000718CA">
        <w:rPr>
          <w:rFonts w:cs="Garamond"/>
          <w:color w:val="000000"/>
          <w:lang w:val="es-ES_tradnl"/>
        </w:rPr>
        <w:t>reconociéndose los ingresos derivados de los mismos en función del criterio de devengo, es decir, cuando se produce la corriente real del servicio, valorándose por el valor razonable de la contraprestación recibida, deducidos descuentos e impuestos, tal y como se indica en la nota</w:t>
      </w:r>
      <w:r w:rsidR="000718CA">
        <w:rPr>
          <w:rFonts w:cs="Garamond"/>
          <w:color w:val="000000"/>
          <w:lang w:val="es-ES_tradnl"/>
        </w:rPr>
        <w:t xml:space="preserve"> 4.15</w:t>
      </w:r>
      <w:r w:rsidRPr="00B2523D">
        <w:rPr>
          <w:rFonts w:cs="Garamond"/>
          <w:color w:val="000000"/>
          <w:lang w:val="es-ES_tradnl"/>
        </w:rPr>
        <w:t>. Dada la gran diversidad de contratos y el elevado volumen de los mismos, hemos considerado esta área como uno de los aspectos más relevantes de nuestra auditoría.</w:t>
      </w:r>
    </w:p>
    <w:p w:rsidR="00734F17" w:rsidRPr="00B2523D" w:rsidRDefault="00734F17" w:rsidP="00B2523D">
      <w:pPr>
        <w:pStyle w:val="IFACListStyle1"/>
        <w:numPr>
          <w:ilvl w:val="0"/>
          <w:numId w:val="0"/>
        </w:numPr>
        <w:tabs>
          <w:tab w:val="clear" w:pos="547"/>
          <w:tab w:val="left" w:pos="0"/>
        </w:tabs>
        <w:spacing w:before="240" w:line="240" w:lineRule="auto"/>
        <w:jc w:val="left"/>
        <w:rPr>
          <w:rFonts w:ascii="EYInterstate Light" w:eastAsiaTheme="minorEastAsia" w:hAnsi="EYInterstate Light" w:cs="Garamond"/>
          <w:color w:val="000000"/>
          <w:kern w:val="0"/>
          <w:sz w:val="22"/>
          <w:szCs w:val="22"/>
          <w:lang w:val="es-ES_tradnl" w:bidi="ar-SA"/>
        </w:rPr>
      </w:pPr>
      <w:r w:rsidRPr="00B2523D">
        <w:rPr>
          <w:rFonts w:ascii="EYInterstate Light" w:eastAsiaTheme="minorEastAsia" w:hAnsi="EYInterstate Light" w:cs="Garamond"/>
          <w:color w:val="000000"/>
          <w:kern w:val="0"/>
          <w:sz w:val="22"/>
          <w:szCs w:val="22"/>
          <w:lang w:val="es-ES_tradnl" w:bidi="ar-SA"/>
        </w:rPr>
        <w:t>En relación con esta área, nuestros procedimientos de auditoría han incluido, entre otros:</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E</w:t>
      </w:r>
      <w:r w:rsidR="00734F17" w:rsidRPr="00B2523D">
        <w:rPr>
          <w:rFonts w:cs="Garamond"/>
          <w:color w:val="000000"/>
          <w:lang w:val="es-ES_tradnl"/>
        </w:rPr>
        <w:t>l entendimiento de las políticas y procedimientos de reconocimiento de ingresos, así como su aplicación.</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E</w:t>
      </w:r>
      <w:r w:rsidR="00734F17" w:rsidRPr="00B2523D">
        <w:rPr>
          <w:rFonts w:cs="Garamond"/>
          <w:color w:val="000000"/>
          <w:lang w:val="es-ES_tradnl"/>
        </w:rPr>
        <w:t>l análisis de la integridad de las transacciones realizadas en el ejercicio por el Grupo así como el análisis de la correlación de los ingresos y cobros asociados, en unos casos y la realización de procedimientos analíticos sustantivos consistentes en una revisión de la evolución de ingresos así como el análisis de una muestra de los mismos, en otros.</w:t>
      </w:r>
    </w:p>
    <w:p w:rsidR="00734F17" w:rsidRPr="00B2523D" w:rsidRDefault="005B7782" w:rsidP="00B2523D">
      <w:pPr>
        <w:numPr>
          <w:ilvl w:val="0"/>
          <w:numId w:val="27"/>
        </w:numPr>
        <w:tabs>
          <w:tab w:val="clear" w:pos="720"/>
        </w:tabs>
        <w:spacing w:before="240" w:after="0" w:line="240" w:lineRule="auto"/>
        <w:ind w:left="709" w:hanging="709"/>
        <w:rPr>
          <w:rFonts w:cs="Garamond"/>
          <w:color w:val="000000"/>
          <w:lang w:val="es-ES_tradnl"/>
        </w:rPr>
      </w:pPr>
      <w:r>
        <w:rPr>
          <w:rFonts w:cs="Garamond"/>
          <w:color w:val="000000"/>
          <w:lang w:val="es-ES_tradnl"/>
        </w:rPr>
        <w:t>L</w:t>
      </w:r>
      <w:r w:rsidR="00734F17" w:rsidRPr="00B2523D">
        <w:rPr>
          <w:rFonts w:cs="Garamond"/>
          <w:color w:val="000000"/>
          <w:lang w:val="es-ES_tradnl"/>
        </w:rPr>
        <w:t>a realización de procedimientos de corte de operaciones para una muestra de transacciones de ingresos al cierre del ejercicio de cara a concluir si las mismas se reconocieron contablemente en base a su correspondiente corriente real de ser vicios prestados.</w:t>
      </w:r>
    </w:p>
    <w:p w:rsidR="004023F5" w:rsidRPr="00B2523D" w:rsidRDefault="004023F5" w:rsidP="00B2523D">
      <w:pPr>
        <w:pStyle w:val="IFACListStyle1"/>
        <w:numPr>
          <w:ilvl w:val="0"/>
          <w:numId w:val="0"/>
        </w:numPr>
        <w:tabs>
          <w:tab w:val="clear" w:pos="547"/>
        </w:tabs>
        <w:spacing w:before="360" w:line="240" w:lineRule="auto"/>
        <w:jc w:val="left"/>
        <w:rPr>
          <w:rFonts w:ascii="EYInterstate Light" w:hAnsi="EYInterstate Light" w:cs="Garamond"/>
          <w:b/>
          <w:color w:val="000000"/>
          <w:kern w:val="0"/>
          <w:sz w:val="22"/>
          <w:szCs w:val="22"/>
          <w:lang w:val="es-ES_tradnl" w:eastAsia="en-US" w:bidi="ar-SA"/>
        </w:rPr>
      </w:pPr>
      <w:r w:rsidRPr="00B2523D">
        <w:rPr>
          <w:rFonts w:ascii="EYInterstate Light" w:hAnsi="EYInterstate Light" w:cs="Garamond"/>
          <w:b/>
          <w:color w:val="000000"/>
          <w:kern w:val="0"/>
          <w:sz w:val="22"/>
          <w:szCs w:val="22"/>
          <w:lang w:val="es-ES_tradnl" w:eastAsia="en-US" w:bidi="ar-SA"/>
        </w:rPr>
        <w:t>Otra información: Informe de gestión</w:t>
      </w:r>
      <w:r w:rsidR="009C1D71" w:rsidRPr="00B2523D">
        <w:rPr>
          <w:rFonts w:ascii="EYInterstate Light" w:hAnsi="EYInterstate Light" w:cs="Garamond"/>
          <w:b/>
          <w:color w:val="000000"/>
          <w:kern w:val="0"/>
          <w:sz w:val="22"/>
          <w:szCs w:val="22"/>
          <w:lang w:val="es-ES_tradnl" w:eastAsia="en-US" w:bidi="ar-SA"/>
        </w:rPr>
        <w:t xml:space="preserve"> consolidado</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La otra información comprende exclusivamente 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del ejercicio </w:t>
      </w:r>
      <w:r w:rsidR="008423F2" w:rsidRPr="00B2523D">
        <w:rPr>
          <w:rFonts w:cs="Garamond"/>
          <w:color w:val="000000"/>
          <w:lang w:val="es-ES_tradnl"/>
        </w:rPr>
        <w:t>2017</w:t>
      </w:r>
      <w:r w:rsidRPr="00B2523D">
        <w:rPr>
          <w:rFonts w:cs="Garamond"/>
          <w:color w:val="000000"/>
          <w:lang w:val="es-ES_tradnl"/>
        </w:rPr>
        <w:t xml:space="preserve">, cuya formulación es responsabilidad </w:t>
      </w:r>
      <w:r w:rsidR="002A6E66" w:rsidRPr="00B2523D">
        <w:rPr>
          <w:rFonts w:cs="Garamond"/>
          <w:color w:val="000000"/>
          <w:lang w:val="es-ES_tradnl"/>
        </w:rPr>
        <w:t xml:space="preserve">del Vicepresidente Primero Ejecutivo de la </w:t>
      </w:r>
      <w:r w:rsidR="00CD261F">
        <w:rPr>
          <w:rFonts w:cs="Garamond"/>
          <w:color w:val="000000"/>
          <w:lang w:val="es-ES_tradnl"/>
        </w:rPr>
        <w:t>Entidad dominante</w:t>
      </w:r>
      <w:r w:rsidR="002A6E66" w:rsidRPr="00B2523D">
        <w:rPr>
          <w:rFonts w:cs="Garamond"/>
          <w:color w:val="000000"/>
          <w:lang w:val="es-ES_tradnl"/>
        </w:rPr>
        <w:t xml:space="preserve"> </w:t>
      </w:r>
      <w:r w:rsidRPr="00B2523D">
        <w:rPr>
          <w:rFonts w:cs="Garamond"/>
          <w:color w:val="000000"/>
          <w:lang w:val="es-ES_tradnl"/>
        </w:rPr>
        <w:t>y no forma parte integrante de las cuentas anuales</w:t>
      </w:r>
      <w:r w:rsidR="008A47FD" w:rsidRPr="00B2523D">
        <w:rPr>
          <w:rFonts w:cs="Garamond"/>
          <w:color w:val="000000"/>
          <w:lang w:val="es-ES_tradnl"/>
        </w:rPr>
        <w:t xml:space="preserve"> consolidadas</w:t>
      </w:r>
      <w:r w:rsidRPr="00B2523D">
        <w:rPr>
          <w:rFonts w:cs="Garamond"/>
          <w:color w:val="000000"/>
          <w:lang w:val="es-ES_tradnl"/>
        </w:rPr>
        <w:t>.</w:t>
      </w:r>
    </w:p>
    <w:p w:rsidR="00B2523D" w:rsidRPr="00B2523D" w:rsidRDefault="00B2523D" w:rsidP="00B2523D">
      <w:pPr>
        <w:spacing w:after="160" w:line="240" w:lineRule="auto"/>
        <w:rPr>
          <w:rFonts w:cs="Garamond"/>
          <w:color w:val="000000"/>
          <w:lang w:val="es-ES_tradnl"/>
        </w:rPr>
      </w:pPr>
      <w:r w:rsidRPr="00B2523D">
        <w:rPr>
          <w:rFonts w:cs="Garamond"/>
          <w:color w:val="000000"/>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Nuestra opinión de auditoría sobre las cuentas anuales</w:t>
      </w:r>
      <w:r w:rsidR="008A47FD" w:rsidRPr="00B2523D">
        <w:rPr>
          <w:rFonts w:cs="Garamond"/>
          <w:color w:val="000000"/>
          <w:lang w:val="es-ES_tradnl"/>
        </w:rPr>
        <w:t xml:space="preserve"> consolidadas</w:t>
      </w:r>
      <w:r w:rsidRPr="00B2523D">
        <w:rPr>
          <w:rFonts w:cs="Garamond"/>
          <w:color w:val="000000"/>
          <w:lang w:val="es-ES_tradnl"/>
        </w:rPr>
        <w:t xml:space="preserve"> no cubre el informe de gestión</w:t>
      </w:r>
      <w:r w:rsidR="009C1D71" w:rsidRPr="00B2523D">
        <w:rPr>
          <w:rFonts w:cs="Garamond"/>
          <w:color w:val="000000"/>
          <w:lang w:val="es-ES_tradnl"/>
        </w:rPr>
        <w:t xml:space="preserve"> consolidado</w:t>
      </w:r>
      <w:r w:rsidRPr="00B2523D">
        <w:rPr>
          <w:rFonts w:cs="Garamond"/>
          <w:color w:val="000000"/>
          <w:lang w:val="es-ES_tradnl"/>
        </w:rPr>
        <w:t>.</w:t>
      </w:r>
      <w:r w:rsidR="008B524C" w:rsidRPr="00B2523D">
        <w:rPr>
          <w:rFonts w:cs="Garamond"/>
          <w:color w:val="000000"/>
          <w:lang w:val="es-ES_tradnl"/>
        </w:rPr>
        <w:t xml:space="preserve"> </w:t>
      </w:r>
      <w:r w:rsidRPr="00B2523D">
        <w:rPr>
          <w:rFonts w:cs="Garamond"/>
          <w:color w:val="000000"/>
          <w:lang w:val="es-ES_tradnl"/>
        </w:rPr>
        <w:t>Nuestra responsabilidad sobre el informe de gestión</w:t>
      </w:r>
      <w:r w:rsidR="009C1D71" w:rsidRPr="00B2523D">
        <w:rPr>
          <w:rFonts w:cs="Garamond"/>
          <w:color w:val="000000"/>
          <w:lang w:val="es-ES_tradnl"/>
        </w:rPr>
        <w:t xml:space="preserve"> consolidado</w:t>
      </w:r>
      <w:r w:rsidRPr="00B2523D">
        <w:rPr>
          <w:rFonts w:cs="Garamond"/>
          <w:color w:val="000000"/>
          <w:lang w:val="es-ES_tradnl"/>
        </w:rPr>
        <w:t>, de conformidad con lo exigido por la normativa reguladora de la actividad de auditoría de cuentas, consiste en evaluar e informar sobre la concordancia del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con las cuentas anuales</w:t>
      </w:r>
      <w:r w:rsidR="009C1D71" w:rsidRPr="00B2523D">
        <w:rPr>
          <w:rFonts w:cs="Garamond"/>
          <w:color w:val="000000"/>
          <w:lang w:val="es-ES_tradnl"/>
        </w:rPr>
        <w:t xml:space="preserve"> consolidadas</w:t>
      </w:r>
      <w:r w:rsidR="00141EEE" w:rsidRPr="00B2523D">
        <w:rPr>
          <w:rFonts w:cs="Garamond"/>
          <w:color w:val="000000"/>
          <w:lang w:val="es-ES_tradnl"/>
        </w:rPr>
        <w:t>, a partir del conocimiento del Grupo</w:t>
      </w:r>
      <w:r w:rsidRPr="00B2523D">
        <w:rPr>
          <w:rFonts w:cs="Garamond"/>
          <w:color w:val="000000"/>
          <w:lang w:val="es-ES_tradnl"/>
        </w:rPr>
        <w:t xml:space="preserve"> obtenido en la realización de la auditoría de las citadas cuentas y sin incluir información distinta de la obtenida como evidencia durante la misma. Asimismo, nuestra responsabilidad consiste en evaluar e informar de si el contenido y presentación del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son conformes a la normativa que resulta de aplicación. Si, basándonos en el trabajo que hemos realizado, concluimos que existen incorrecciones materiales, estamos obligados a informar de ello. </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Sobre la base del trabajo realizado, según lo descrito en el párrafo anterior, la información que contiene el informe de gestión</w:t>
      </w:r>
      <w:r w:rsidR="009C1D71" w:rsidRPr="00B2523D">
        <w:rPr>
          <w:rFonts w:cs="Garamond"/>
          <w:color w:val="000000"/>
          <w:lang w:val="es-ES_tradnl"/>
        </w:rPr>
        <w:t xml:space="preserve"> consolidado</w:t>
      </w:r>
      <w:r w:rsidRPr="00B2523D">
        <w:rPr>
          <w:rFonts w:cs="Garamond"/>
          <w:color w:val="000000"/>
          <w:lang w:val="es-ES_tradnl"/>
        </w:rPr>
        <w:t xml:space="preserve"> concuerda con la de las cuentas anuales</w:t>
      </w:r>
      <w:r w:rsidR="009C1D71" w:rsidRPr="00B2523D">
        <w:rPr>
          <w:rFonts w:cs="Garamond"/>
          <w:color w:val="000000"/>
          <w:lang w:val="es-ES_tradnl"/>
        </w:rPr>
        <w:t xml:space="preserve"> consolidadas</w:t>
      </w:r>
      <w:r w:rsidRPr="00B2523D">
        <w:rPr>
          <w:rFonts w:cs="Garamond"/>
          <w:color w:val="000000"/>
          <w:lang w:val="es-ES_tradnl"/>
        </w:rPr>
        <w:t xml:space="preserve"> del ejercicio </w:t>
      </w:r>
      <w:r w:rsidR="008423F2" w:rsidRPr="00B2523D">
        <w:rPr>
          <w:rFonts w:cs="Garamond"/>
          <w:color w:val="000000"/>
          <w:lang w:val="es-ES_tradnl"/>
        </w:rPr>
        <w:t>2017</w:t>
      </w:r>
      <w:r w:rsidRPr="00B2523D">
        <w:rPr>
          <w:rFonts w:cs="Garamond"/>
          <w:color w:val="000000"/>
          <w:lang w:val="es-ES_tradnl"/>
        </w:rPr>
        <w:t xml:space="preserve"> y su contenido y presentación son conforme</w:t>
      </w:r>
      <w:r w:rsidR="009E7172" w:rsidRPr="00B2523D">
        <w:rPr>
          <w:rFonts w:cs="Garamond"/>
          <w:color w:val="000000"/>
          <w:lang w:val="es-ES_tradnl"/>
        </w:rPr>
        <w:t>s</w:t>
      </w:r>
      <w:r w:rsidRPr="00B2523D">
        <w:rPr>
          <w:rFonts w:cs="Garamond"/>
          <w:color w:val="000000"/>
          <w:lang w:val="es-ES_tradnl"/>
        </w:rPr>
        <w:t xml:space="preserve"> a la normativa que resulta de aplicación.</w:t>
      </w:r>
    </w:p>
    <w:p w:rsidR="004023F5" w:rsidRPr="00B2523D" w:rsidRDefault="00745731"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t xml:space="preserve">Responsabilidad del Vicepresidente Primero Ejecutivo de la </w:t>
      </w:r>
      <w:r w:rsidR="00315E82">
        <w:rPr>
          <w:rFonts w:cs="Garamond"/>
          <w:b/>
          <w:color w:val="000000"/>
          <w:lang w:val="es-ES_tradnl"/>
        </w:rPr>
        <w:t>Entidad dominante</w:t>
      </w:r>
      <w:r w:rsidRPr="00B2523D">
        <w:rPr>
          <w:rFonts w:cs="Garamond"/>
          <w:b/>
          <w:color w:val="000000"/>
          <w:lang w:val="es-ES_tradnl"/>
        </w:rPr>
        <w:t xml:space="preserve"> en relación con las cuentas anuales </w:t>
      </w:r>
      <w:r w:rsidR="009C1D71" w:rsidRPr="00B2523D">
        <w:rPr>
          <w:rFonts w:cs="Garamond"/>
          <w:b/>
          <w:color w:val="000000"/>
          <w:lang w:val="es-ES_tradnl"/>
        </w:rPr>
        <w:t>consolidadas</w:t>
      </w:r>
    </w:p>
    <w:p w:rsidR="004023F5" w:rsidRPr="00B2523D" w:rsidRDefault="00745731"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El Vicepresidente Primero Ejecutivo de la </w:t>
      </w:r>
      <w:r w:rsidR="00CC532F">
        <w:rPr>
          <w:rFonts w:cs="Garamond"/>
          <w:color w:val="000000"/>
          <w:lang w:val="es-ES_tradnl"/>
        </w:rPr>
        <w:t>Entidad dominante</w:t>
      </w:r>
      <w:r w:rsidRPr="00B2523D">
        <w:rPr>
          <w:rFonts w:cs="Garamond"/>
          <w:color w:val="000000"/>
          <w:lang w:val="es-ES_tradnl"/>
        </w:rPr>
        <w:t xml:space="preserve"> es el responsable</w:t>
      </w:r>
      <w:r w:rsidR="004023F5" w:rsidRPr="00B2523D">
        <w:rPr>
          <w:rFonts w:cs="Garamond"/>
          <w:color w:val="000000"/>
          <w:lang w:val="es-ES_tradnl"/>
        </w:rPr>
        <w:t xml:space="preserve"> de formular las cuentas anuales</w:t>
      </w:r>
      <w:r w:rsidR="009C1D71" w:rsidRPr="00B2523D">
        <w:rPr>
          <w:rFonts w:cs="Garamond"/>
          <w:color w:val="000000"/>
          <w:lang w:val="es-ES_tradnl"/>
        </w:rPr>
        <w:t xml:space="preserve"> consolidadas</w:t>
      </w:r>
      <w:r w:rsidR="004023F5" w:rsidRPr="00B2523D">
        <w:rPr>
          <w:rFonts w:cs="Garamond"/>
          <w:color w:val="000000"/>
          <w:lang w:val="es-ES_tradnl"/>
        </w:rPr>
        <w:t xml:space="preserve"> adjuntas, de forma que expresen la imagen fiel del patrimonio, de la situación financiera y </w:t>
      </w:r>
      <w:r w:rsidR="00FF0EC7" w:rsidRPr="00B2523D">
        <w:rPr>
          <w:rFonts w:cs="Garamond"/>
          <w:color w:val="000000"/>
          <w:lang w:val="es-ES_tradnl"/>
        </w:rPr>
        <w:t>de los resultados consolidados del Grupo</w:t>
      </w:r>
      <w:r w:rsidR="004023F5" w:rsidRPr="00B2523D">
        <w:rPr>
          <w:rFonts w:cs="Garamond"/>
          <w:color w:val="000000"/>
          <w:lang w:val="es-ES_tradnl"/>
        </w:rPr>
        <w:t>, de conformidad con el marco normativo de información f</w:t>
      </w:r>
      <w:r w:rsidR="00FF0EC7" w:rsidRPr="00B2523D">
        <w:rPr>
          <w:rFonts w:cs="Garamond"/>
          <w:color w:val="000000"/>
          <w:lang w:val="es-ES_tradnl"/>
        </w:rPr>
        <w:t>inanciera aplicable al Grupo en España, que se identifica</w:t>
      </w:r>
      <w:r w:rsidR="004023F5" w:rsidRPr="00B2523D">
        <w:rPr>
          <w:rFonts w:cs="Garamond"/>
          <w:color w:val="000000"/>
          <w:lang w:val="es-ES_tradnl"/>
        </w:rPr>
        <w:t xml:space="preserve"> en la nota </w:t>
      </w:r>
      <w:r w:rsidR="00EF62EB" w:rsidRPr="00B2523D">
        <w:rPr>
          <w:rFonts w:cs="Garamond"/>
          <w:color w:val="000000"/>
          <w:lang w:val="es-ES_tradnl"/>
        </w:rPr>
        <w:t>2</w:t>
      </w:r>
      <w:r w:rsidR="004023F5" w:rsidRPr="00B2523D">
        <w:rPr>
          <w:rFonts w:cs="Garamond"/>
          <w:color w:val="000000"/>
          <w:lang w:val="es-ES_tradnl"/>
        </w:rPr>
        <w:t xml:space="preserve"> de la memoria</w:t>
      </w:r>
      <w:r w:rsidR="00191C1E" w:rsidRPr="00B2523D">
        <w:rPr>
          <w:rFonts w:cs="Garamond"/>
          <w:color w:val="000000"/>
          <w:lang w:val="es-ES_tradnl"/>
        </w:rPr>
        <w:t xml:space="preserve"> consolidada</w:t>
      </w:r>
      <w:r w:rsidR="004023F5" w:rsidRPr="00B2523D">
        <w:rPr>
          <w:rFonts w:cs="Garamond"/>
          <w:color w:val="000000"/>
          <w:lang w:val="es-ES_tradnl"/>
        </w:rPr>
        <w:t xml:space="preserve"> adjunta, y del control interno que consideren necesario para permitir la preparación de cuentas anuales</w:t>
      </w:r>
      <w:r w:rsidR="00191C1E" w:rsidRPr="00B2523D">
        <w:rPr>
          <w:rFonts w:cs="Garamond"/>
          <w:color w:val="000000"/>
          <w:lang w:val="es-ES_tradnl"/>
        </w:rPr>
        <w:t xml:space="preserve"> consolidadas</w:t>
      </w:r>
      <w:r w:rsidR="004023F5" w:rsidRPr="00B2523D">
        <w:rPr>
          <w:rFonts w:cs="Garamond"/>
          <w:color w:val="000000"/>
          <w:lang w:val="es-ES_tradnl"/>
        </w:rPr>
        <w:t xml:space="preserve"> libres de incorrección material, debida a fraude o error.</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 la preparación de las cuentas anuales</w:t>
      </w:r>
      <w:r w:rsidR="00191C1E" w:rsidRPr="00B2523D">
        <w:rPr>
          <w:rFonts w:cs="Garamond"/>
          <w:color w:val="000000"/>
          <w:lang w:val="es-ES_tradnl"/>
        </w:rPr>
        <w:t xml:space="preserve"> consolidadas</w:t>
      </w:r>
      <w:r w:rsidRPr="00B2523D">
        <w:rPr>
          <w:rFonts w:cs="Garamond"/>
          <w:color w:val="000000"/>
          <w:lang w:val="es-ES_tradnl"/>
        </w:rPr>
        <w:t xml:space="preserve">, </w:t>
      </w:r>
      <w:r w:rsidR="000245E3" w:rsidRPr="00B2523D">
        <w:rPr>
          <w:rFonts w:cs="Garamond"/>
          <w:color w:val="000000"/>
          <w:lang w:val="es-ES_tradnl"/>
        </w:rPr>
        <w:t>el Vicepresidente Primero Ejecutivo</w:t>
      </w:r>
      <w:r w:rsidRPr="00B2523D">
        <w:rPr>
          <w:rFonts w:cs="Garamond"/>
          <w:color w:val="000000"/>
          <w:lang w:val="es-ES_tradnl"/>
        </w:rPr>
        <w:t xml:space="preserve"> </w:t>
      </w:r>
      <w:r w:rsidR="000245E3" w:rsidRPr="00B2523D">
        <w:rPr>
          <w:rFonts w:cs="Garamond"/>
          <w:color w:val="000000"/>
          <w:lang w:val="es-ES_tradnl"/>
        </w:rPr>
        <w:t>de la Entidad dominante es el responsable</w:t>
      </w:r>
      <w:r w:rsidRPr="00B2523D">
        <w:rPr>
          <w:rFonts w:cs="Garamond"/>
          <w:color w:val="000000"/>
          <w:lang w:val="es-ES_tradnl"/>
        </w:rPr>
        <w:t xml:space="preserve"> de la valoració</w:t>
      </w:r>
      <w:r w:rsidR="00191C1E" w:rsidRPr="00B2523D">
        <w:rPr>
          <w:rFonts w:cs="Garamond"/>
          <w:color w:val="000000"/>
          <w:lang w:val="es-ES_tradnl"/>
        </w:rPr>
        <w:t>n de la capacidad del Grupo</w:t>
      </w:r>
      <w:r w:rsidRPr="00B2523D">
        <w:rPr>
          <w:rFonts w:cs="Garamond"/>
          <w:color w:val="000000"/>
          <w:lang w:val="es-ES_tradnl"/>
        </w:rPr>
        <w:t xml:space="preserve"> para continuar como e</w:t>
      </w:r>
      <w:r w:rsidR="009B0F7C">
        <w:rPr>
          <w:rFonts w:cs="Garamond"/>
          <w:color w:val="000000"/>
          <w:lang w:val="es-ES_tradnl"/>
        </w:rPr>
        <w:t>ntidad</w:t>
      </w:r>
      <w:r w:rsidRPr="00B2523D">
        <w:rPr>
          <w:rFonts w:cs="Garamond"/>
          <w:color w:val="000000"/>
          <w:lang w:val="es-ES_tradnl"/>
        </w:rPr>
        <w:t xml:space="preserve"> en funcionamiento, revelando, según corresponda, las cuestiones relacionadas con la </w:t>
      </w:r>
      <w:r w:rsidR="009B0F7C">
        <w:rPr>
          <w:rFonts w:cs="Garamond"/>
          <w:color w:val="000000"/>
          <w:lang w:val="es-ES_tradnl"/>
        </w:rPr>
        <w:t>entidad</w:t>
      </w:r>
      <w:r w:rsidRPr="00B2523D">
        <w:rPr>
          <w:rFonts w:cs="Garamond"/>
          <w:color w:val="000000"/>
          <w:lang w:val="es-ES_tradnl"/>
        </w:rPr>
        <w:t xml:space="preserve"> en funcionamiento y utilizando el principio contable de empresa</w:t>
      </w:r>
      <w:r w:rsidR="009B0F7C">
        <w:rPr>
          <w:rFonts w:cs="Garamond"/>
          <w:color w:val="000000"/>
          <w:lang w:val="es-ES_tradnl"/>
        </w:rPr>
        <w:t xml:space="preserve"> </w:t>
      </w:r>
      <w:r w:rsidRPr="00B2523D">
        <w:rPr>
          <w:rFonts w:cs="Garamond"/>
          <w:color w:val="000000"/>
          <w:lang w:val="es-ES_tradnl"/>
        </w:rPr>
        <w:t xml:space="preserve">en funcionamiento excepto si </w:t>
      </w:r>
      <w:r w:rsidR="00A76A01" w:rsidRPr="00B2523D">
        <w:rPr>
          <w:rFonts w:cs="Garamond"/>
          <w:color w:val="000000"/>
          <w:lang w:val="es-ES_tradnl"/>
        </w:rPr>
        <w:t>el Patronato</w:t>
      </w:r>
      <w:r w:rsidRPr="00B2523D">
        <w:rPr>
          <w:rFonts w:cs="Garamond"/>
          <w:color w:val="000000"/>
          <w:lang w:val="es-ES_tradnl"/>
        </w:rPr>
        <w:t xml:space="preserve"> tiene i</w:t>
      </w:r>
      <w:r w:rsidR="00BC1BAF" w:rsidRPr="00B2523D">
        <w:rPr>
          <w:rFonts w:cs="Garamond"/>
          <w:color w:val="000000"/>
          <w:lang w:val="es-ES_tradnl"/>
        </w:rPr>
        <w:t>ntención de liquidar el Grupo</w:t>
      </w:r>
      <w:r w:rsidRPr="00B2523D">
        <w:rPr>
          <w:rFonts w:cs="Garamond"/>
          <w:color w:val="000000"/>
          <w:lang w:val="es-ES_tradnl"/>
        </w:rPr>
        <w:t xml:space="preserve"> o de cesar sus operaciones, o bien no exista otra alternativa realista.</w:t>
      </w:r>
    </w:p>
    <w:p w:rsidR="004023F5" w:rsidRPr="00B2523D" w:rsidRDefault="004023F5" w:rsidP="00B2523D">
      <w:pPr>
        <w:autoSpaceDE w:val="0"/>
        <w:autoSpaceDN w:val="0"/>
        <w:adjustRightInd w:val="0"/>
        <w:spacing w:before="360" w:after="0" w:line="240" w:lineRule="auto"/>
        <w:rPr>
          <w:rFonts w:cs="Garamond"/>
          <w:b/>
          <w:color w:val="000000"/>
          <w:lang w:val="es-ES_tradnl"/>
        </w:rPr>
      </w:pPr>
      <w:r w:rsidRPr="00B2523D">
        <w:rPr>
          <w:rFonts w:cs="Garamond"/>
          <w:b/>
          <w:color w:val="000000"/>
          <w:lang w:val="es-ES_tradnl"/>
        </w:rPr>
        <w:t>Responsabilidades del auditor en relación con la auditoría de las cuentas anuales</w:t>
      </w:r>
      <w:r w:rsidR="00BC1BAF" w:rsidRPr="00B2523D">
        <w:rPr>
          <w:rFonts w:cs="Garamond"/>
          <w:b/>
          <w:color w:val="000000"/>
          <w:lang w:val="es-ES_tradnl"/>
        </w:rPr>
        <w:t xml:space="preserve"> consolidadas</w:t>
      </w:r>
    </w:p>
    <w:p w:rsidR="00BC1BAF"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Nuestros objetivos son obtener una seguridad razonable de que las cuentas anuales</w:t>
      </w:r>
      <w:r w:rsidR="00BC1BAF" w:rsidRPr="00B2523D">
        <w:rPr>
          <w:rFonts w:cs="Garamond"/>
          <w:color w:val="000000"/>
          <w:lang w:val="es-ES_tradnl"/>
        </w:rPr>
        <w:t xml:space="preserve"> consolidadas</w:t>
      </w:r>
      <w:r w:rsidRPr="00B2523D">
        <w:rPr>
          <w:rFonts w:cs="Garamond"/>
          <w:color w:val="000000"/>
          <w:lang w:val="es-ES_tradnl"/>
        </w:rPr>
        <w:t xml:space="preserve"> en su conjunto están libres de incorrección material, debida a fraude o error, y emitir un informe de auditoría que contiene nuestra opinión. </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 xml:space="preserve">Seguridad razonable es un alto grado de seguridad pero no garantiza que una auditoría realizada de conformidad con la normativa reguladora de la actividad de auditoría </w:t>
      </w:r>
      <w:r w:rsidR="00DB10EA" w:rsidRPr="00B2523D">
        <w:rPr>
          <w:rFonts w:cs="Garamond"/>
          <w:color w:val="000000"/>
          <w:lang w:val="es-ES_tradnl"/>
        </w:rPr>
        <w:t>de cuentas v</w:t>
      </w:r>
      <w:r w:rsidRPr="00B2523D">
        <w:rPr>
          <w:rFonts w:cs="Garamond"/>
          <w:color w:val="000000"/>
          <w:lang w:val="es-ES_tradnl"/>
        </w:rPr>
        <w:t>igente en España siempre detecte</w:t>
      </w:r>
      <w:r w:rsidR="00DB1182" w:rsidRPr="00B2523D">
        <w:rPr>
          <w:rFonts w:cs="Garamond"/>
          <w:color w:val="000000"/>
          <w:lang w:val="es-ES_tradnl"/>
        </w:rPr>
        <w:t xml:space="preserve"> </w:t>
      </w:r>
      <w:r w:rsidRPr="00B2523D">
        <w:rPr>
          <w:rFonts w:cs="Garamond"/>
          <w:color w:val="000000"/>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B2523D">
        <w:rPr>
          <w:rFonts w:cs="Garamond"/>
          <w:color w:val="000000"/>
          <w:lang w:val="es-ES_tradnl"/>
        </w:rPr>
        <w:t xml:space="preserve"> </w:t>
      </w:r>
      <w:r w:rsidRPr="00B2523D">
        <w:rPr>
          <w:rFonts w:cs="Garamond"/>
          <w:color w:val="000000"/>
          <w:lang w:val="es-ES_tradnl"/>
        </w:rPr>
        <w:t>que los usuarios toman basándose en las cuentas anuales</w:t>
      </w:r>
      <w:r w:rsidR="00AC7570" w:rsidRPr="00B2523D">
        <w:rPr>
          <w:rFonts w:cs="Garamond"/>
          <w:color w:val="000000"/>
          <w:lang w:val="es-ES_tradnl"/>
        </w:rPr>
        <w:t xml:space="preserve"> consolidadas</w:t>
      </w:r>
      <w:r w:rsidRPr="00B2523D">
        <w:rPr>
          <w:rFonts w:cs="Garamond"/>
          <w:color w:val="000000"/>
          <w:lang w:val="es-ES_tradnl"/>
        </w:rPr>
        <w:t>.</w:t>
      </w:r>
    </w:p>
    <w:p w:rsidR="00B2523D" w:rsidRPr="00B2523D" w:rsidRDefault="00B2523D" w:rsidP="00B2523D">
      <w:pPr>
        <w:spacing w:after="0" w:line="240" w:lineRule="auto"/>
        <w:rPr>
          <w:rFonts w:cs="Garamond"/>
          <w:color w:val="000000"/>
          <w:sz w:val="2"/>
          <w:lang w:val="es-ES_tradnl"/>
        </w:rPr>
      </w:pPr>
      <w:r w:rsidRPr="00B2523D">
        <w:rPr>
          <w:rFonts w:cs="Garamond"/>
          <w:color w:val="000000"/>
          <w:sz w:val="2"/>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Como parte de una auditoría de conformidad con la normativa reguladora de la actividad de auditoría de cuentas</w:t>
      </w:r>
      <w:r w:rsidR="00AC7570" w:rsidRPr="00B2523D">
        <w:rPr>
          <w:rFonts w:cs="Garamond"/>
          <w:color w:val="000000"/>
          <w:lang w:val="es-ES_tradnl"/>
        </w:rPr>
        <w:t xml:space="preserve"> vigente</w:t>
      </w:r>
      <w:r w:rsidRPr="00B2523D">
        <w:rPr>
          <w:rFonts w:cs="Garamond"/>
          <w:color w:val="000000"/>
          <w:lang w:val="es-ES_tradnl"/>
        </w:rPr>
        <w:t xml:space="preserve"> en España, aplicamos nuestro juicio profesional y mantenemos una actitud de escepticismo profesional durante toda la auditoría. También:</w:t>
      </w:r>
    </w:p>
    <w:p w:rsidR="005F2C17"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Identificamos y valoramos los riesgos de incorrección material en las cuentas anuales</w:t>
      </w:r>
      <w:r w:rsidR="007B5A1E" w:rsidRPr="00B2523D">
        <w:rPr>
          <w:rFonts w:cs="Garamond"/>
          <w:color w:val="000000"/>
          <w:lang w:val="es-ES_tradnl"/>
        </w:rPr>
        <w:t xml:space="preserve"> consolidadas</w:t>
      </w:r>
      <w:r w:rsidRPr="00B2523D">
        <w:rPr>
          <w:rFonts w:cs="Garamond"/>
          <w:color w:val="000000"/>
          <w:lang w:val="es-ES_tradnl"/>
        </w:rPr>
        <w:t>,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022162"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Obtenemos conocimiento del control interno relevante para la auditoría con el fin de diseñar procedimientos de auditoría que sean adecuados en función de las circunstancias, y no con la finalidad de expresar una opinión sobre la eficacia d</w:t>
      </w:r>
      <w:r w:rsidR="007B5A1E" w:rsidRPr="00B2523D">
        <w:rPr>
          <w:rFonts w:cs="Garamond"/>
          <w:color w:val="000000"/>
          <w:lang w:val="es-ES_tradnl"/>
        </w:rPr>
        <w:t>el control interno del Grupo</w:t>
      </w:r>
      <w:r w:rsidR="00022162" w:rsidRPr="00B2523D">
        <w:rPr>
          <w:rFonts w:cs="Garamond"/>
          <w:color w:val="000000"/>
          <w:lang w:val="es-ES_tradnl"/>
        </w:rPr>
        <w:t>.</w:t>
      </w:r>
    </w:p>
    <w:p w:rsidR="004023F5" w:rsidRPr="00B2523D" w:rsidRDefault="004023F5" w:rsidP="00B2523D">
      <w:pPr>
        <w:pStyle w:val="ListParagraph"/>
        <w:numPr>
          <w:ilvl w:val="0"/>
          <w:numId w:val="18"/>
        </w:numPr>
        <w:autoSpaceDE w:val="0"/>
        <w:autoSpaceDN w:val="0"/>
        <w:adjustRightInd w:val="0"/>
        <w:spacing w:before="240" w:after="0" w:line="240" w:lineRule="auto"/>
        <w:ind w:hanging="780"/>
        <w:contextualSpacing w:val="0"/>
        <w:rPr>
          <w:rFonts w:cs="Garamond"/>
          <w:color w:val="000000"/>
          <w:lang w:val="es-ES_tradnl"/>
        </w:rPr>
      </w:pPr>
      <w:r w:rsidRPr="00B2523D">
        <w:rPr>
          <w:rFonts w:cs="Garamond"/>
          <w:color w:val="000000"/>
          <w:lang w:val="es-ES_tradnl"/>
        </w:rPr>
        <w:t xml:space="preserve">Evaluamos si las políticas contables aplicadas son adecuadas y la razonabilidad de las estimaciones contables y la correspondiente información revelada por </w:t>
      </w:r>
      <w:r w:rsidR="00C5465A" w:rsidRPr="00B2523D">
        <w:rPr>
          <w:rFonts w:cs="Garamond"/>
          <w:color w:val="000000"/>
          <w:lang w:val="es-ES_tradnl"/>
        </w:rPr>
        <w:t>el</w:t>
      </w:r>
      <w:r w:rsidRPr="00B2523D">
        <w:rPr>
          <w:rFonts w:cs="Garamond"/>
          <w:color w:val="000000"/>
          <w:lang w:val="es-ES_tradnl"/>
        </w:rPr>
        <w:t xml:space="preserve"> </w:t>
      </w:r>
      <w:r w:rsidR="00C5465A" w:rsidRPr="00B2523D">
        <w:rPr>
          <w:rFonts w:cs="Garamond"/>
          <w:color w:val="000000"/>
          <w:lang w:val="es-ES_tradnl"/>
        </w:rPr>
        <w:t xml:space="preserve">Vicepresidente Primero Ejecutivo de la </w:t>
      </w:r>
      <w:r w:rsidR="000245E3" w:rsidRPr="00B2523D">
        <w:rPr>
          <w:rFonts w:cs="Garamond"/>
          <w:color w:val="000000"/>
          <w:lang w:val="es-ES_tradnl"/>
        </w:rPr>
        <w:t>Entidad dominante</w:t>
      </w:r>
      <w:r w:rsidRPr="00B2523D">
        <w:rPr>
          <w:rFonts w:cs="Garamond"/>
          <w:color w:val="000000"/>
          <w:lang w:val="es-ES_tradnl"/>
        </w:rPr>
        <w:t>.</w:t>
      </w:r>
    </w:p>
    <w:p w:rsidR="004023F5" w:rsidRPr="005B7782" w:rsidRDefault="004023F5" w:rsidP="005B7782">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 xml:space="preserve">Concluimos sobre si es adecuada la utilización, por </w:t>
      </w:r>
      <w:r w:rsidR="000245E3" w:rsidRPr="00B2523D">
        <w:rPr>
          <w:rFonts w:cs="Garamond"/>
          <w:color w:val="000000"/>
          <w:lang w:val="es-ES_tradnl"/>
        </w:rPr>
        <w:t>el Vicepresidente Primero Ejecutivo</w:t>
      </w:r>
      <w:r w:rsidRPr="00B2523D">
        <w:rPr>
          <w:rFonts w:cs="Garamond"/>
          <w:color w:val="000000"/>
          <w:lang w:val="es-ES_tradnl"/>
        </w:rPr>
        <w:t xml:space="preserve"> </w:t>
      </w:r>
      <w:r w:rsidR="007B5A1E" w:rsidRPr="00B2523D">
        <w:rPr>
          <w:rFonts w:cs="Garamond"/>
          <w:color w:val="000000"/>
          <w:lang w:val="es-ES_tradnl"/>
        </w:rPr>
        <w:t>de</w:t>
      </w:r>
      <w:r w:rsidR="000245E3" w:rsidRPr="00B2523D">
        <w:rPr>
          <w:rFonts w:cs="Garamond"/>
          <w:color w:val="000000"/>
          <w:lang w:val="es-ES_tradnl"/>
        </w:rPr>
        <w:t xml:space="preserve"> la Entidad dominante</w:t>
      </w:r>
      <w:r w:rsidRPr="00B2523D">
        <w:rPr>
          <w:rFonts w:cs="Garamond"/>
          <w:color w:val="000000"/>
          <w:lang w:val="es-ES_tradnl"/>
        </w:rPr>
        <w:t xml:space="preserve">, del principio contable de empresa </w:t>
      </w:r>
      <w:r w:rsidRPr="005B7782">
        <w:rPr>
          <w:rFonts w:cs="Garamond"/>
          <w:color w:val="000000"/>
          <w:lang w:val="es-ES_tradnl"/>
        </w:rPr>
        <w:t>en funcionamiento y, basándonos en la evidencia de auditoría obtenida, concluimos sobre si existe o no una incertidumbre material relacionada con hechos o con condiciones que pueden generar dudas significativas s</w:t>
      </w:r>
      <w:r w:rsidR="007B5A1E" w:rsidRPr="005B7782">
        <w:rPr>
          <w:rFonts w:cs="Garamond"/>
          <w:color w:val="000000"/>
          <w:lang w:val="es-ES_tradnl"/>
        </w:rPr>
        <w:t>obre la capacidad del Grupo</w:t>
      </w:r>
      <w:r w:rsidRPr="005B7782">
        <w:rPr>
          <w:rFonts w:cs="Garamond"/>
          <w:color w:val="000000"/>
          <w:lang w:val="es-ES_tradnl"/>
        </w:rPr>
        <w:t xml:space="preserve"> para continuar como </w:t>
      </w:r>
      <w:r w:rsidR="009B0F7C" w:rsidRPr="005B7782">
        <w:rPr>
          <w:rFonts w:cs="Garamond"/>
          <w:color w:val="000000"/>
          <w:lang w:val="es-ES_tradnl"/>
        </w:rPr>
        <w:t>entidad</w:t>
      </w:r>
      <w:r w:rsidRPr="005B7782">
        <w:rPr>
          <w:rFonts w:cs="Garamond"/>
          <w:color w:val="000000"/>
          <w:lang w:val="es-ES_tradnl"/>
        </w:rPr>
        <w:t xml:space="preserve"> en funcionamiento. Si concluimos que existe una incertidumbre material, se requiere que llamemos la atención en nuestro informe de auditoría sobre la correspondiente información revelada en las cuentas anuales</w:t>
      </w:r>
      <w:r w:rsidR="007B5A1E" w:rsidRPr="005B7782">
        <w:rPr>
          <w:rFonts w:cs="Garamond"/>
          <w:color w:val="000000"/>
          <w:lang w:val="es-ES_tradnl"/>
        </w:rPr>
        <w:t xml:space="preserve"> consolidadas</w:t>
      </w:r>
      <w:r w:rsidRPr="005B7782">
        <w:rPr>
          <w:rFonts w:cs="Garamond"/>
          <w:color w:val="000000"/>
          <w:lang w:val="es-ES_tradnl"/>
        </w:rPr>
        <w:t xml:space="preserve"> o, si dichas revelaciones no son adecuadas, que expresemos una opinión modificada. Nuestras conclusiones se basan en la evidencia de auditoría obtenida hasta la fecha de nuestro informe de auditoría. Sin embargo, los hechos o condiciones futuros pueden</w:t>
      </w:r>
      <w:r w:rsidR="007B5A1E" w:rsidRPr="005B7782">
        <w:rPr>
          <w:rFonts w:cs="Garamond"/>
          <w:color w:val="000000"/>
          <w:lang w:val="es-ES_tradnl"/>
        </w:rPr>
        <w:t xml:space="preserve"> ser la causa de que el Grupo</w:t>
      </w:r>
      <w:r w:rsidRPr="005B7782">
        <w:rPr>
          <w:rFonts w:cs="Garamond"/>
          <w:color w:val="000000"/>
          <w:lang w:val="es-ES_tradnl"/>
        </w:rPr>
        <w:t xml:space="preserve"> deje de ser una </w:t>
      </w:r>
      <w:r w:rsidR="009B0F7C" w:rsidRPr="005B7782">
        <w:rPr>
          <w:rFonts w:cs="Garamond"/>
          <w:color w:val="000000"/>
          <w:lang w:val="es-ES_tradnl"/>
        </w:rPr>
        <w:t>entidad</w:t>
      </w:r>
      <w:r w:rsidRPr="005B7782">
        <w:rPr>
          <w:rFonts w:cs="Garamond"/>
          <w:color w:val="000000"/>
          <w:lang w:val="es-ES_tradnl"/>
        </w:rPr>
        <w:t xml:space="preserve"> en funcionamiento.</w:t>
      </w:r>
    </w:p>
    <w:p w:rsidR="004023F5" w:rsidRPr="00B2523D" w:rsidRDefault="004023F5"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Evaluamos la presentación global, la estructura y el contenido de las cuentas anuales</w:t>
      </w:r>
      <w:r w:rsidR="008A47FD" w:rsidRPr="00B2523D">
        <w:rPr>
          <w:rFonts w:cs="Garamond"/>
          <w:color w:val="000000"/>
          <w:lang w:val="es-ES_tradnl"/>
        </w:rPr>
        <w:t xml:space="preserve"> consolidadas</w:t>
      </w:r>
      <w:r w:rsidRPr="00B2523D">
        <w:rPr>
          <w:rFonts w:cs="Garamond"/>
          <w:color w:val="000000"/>
          <w:lang w:val="es-ES_tradnl"/>
        </w:rPr>
        <w:t>, incluida la información revelada, y si las cuentas anuales</w:t>
      </w:r>
      <w:r w:rsidR="007B5A1E" w:rsidRPr="00B2523D">
        <w:rPr>
          <w:rFonts w:cs="Garamond"/>
          <w:color w:val="000000"/>
          <w:lang w:val="es-ES_tradnl"/>
        </w:rPr>
        <w:t xml:space="preserve"> consolidadas</w:t>
      </w:r>
      <w:r w:rsidRPr="00B2523D">
        <w:rPr>
          <w:rFonts w:cs="Garamond"/>
          <w:color w:val="000000"/>
          <w:lang w:val="es-ES_tradnl"/>
        </w:rPr>
        <w:t xml:space="preserve"> representan las transacciones y hechos subyacentes de un modo que logran expresar la imagen fiel.</w:t>
      </w:r>
    </w:p>
    <w:p w:rsidR="007B5A1E" w:rsidRPr="00B2523D" w:rsidRDefault="007B5A1E" w:rsidP="00B2523D">
      <w:pPr>
        <w:pStyle w:val="ListParagraph"/>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B2523D">
        <w:rPr>
          <w:rFonts w:cs="Garamond"/>
          <w:color w:val="000000"/>
          <w:lang w:val="es-ES_tradnl"/>
        </w:rPr>
        <w:t>Obtenemos evidencia suficiente y adecuada en relación con la información financiera de las entidades o actividades empresariales dentro del grupo para expresar una opinión sobre las cuentas anuales consolidadas. Somos responsables de la dirección, supervisión y realización de la auditoría del grupo. Somos los únicos responsables de nuestra opinión de auditoría</w:t>
      </w:r>
      <w:r w:rsidR="00022162" w:rsidRPr="00B2523D">
        <w:rPr>
          <w:rFonts w:cs="Garamond"/>
          <w:color w:val="000000"/>
          <w:lang w:val="es-ES_tradnl"/>
        </w:rPr>
        <w:t>.</w:t>
      </w:r>
    </w:p>
    <w:p w:rsidR="00B2523D" w:rsidRPr="00B2523D" w:rsidRDefault="00B2523D" w:rsidP="00B2523D">
      <w:pPr>
        <w:spacing w:after="160" w:line="240" w:lineRule="auto"/>
        <w:rPr>
          <w:rFonts w:cs="Garamond"/>
          <w:color w:val="000000"/>
          <w:lang w:val="es-ES_tradnl"/>
        </w:rPr>
      </w:pPr>
      <w:r w:rsidRPr="00B2523D">
        <w:rPr>
          <w:rFonts w:cs="Garamond"/>
          <w:color w:val="000000"/>
          <w:lang w:val="es-ES_tradnl"/>
        </w:rPr>
        <w:br w:type="page"/>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lastRenderedPageBreak/>
        <w:t xml:space="preserve">Nos comunicamos con </w:t>
      </w:r>
      <w:r w:rsidR="00D6507F">
        <w:rPr>
          <w:rFonts w:cs="Garamond"/>
          <w:color w:val="000000"/>
          <w:lang w:val="es-ES_tradnl"/>
        </w:rPr>
        <w:t xml:space="preserve">el </w:t>
      </w:r>
      <w:r w:rsidR="00D6507F" w:rsidRPr="00B2523D">
        <w:rPr>
          <w:rFonts w:cs="Garamond"/>
          <w:color w:val="000000"/>
          <w:lang w:val="es-ES_tradnl"/>
        </w:rPr>
        <w:t xml:space="preserve">Vicepresidente Primero Ejecutivo </w:t>
      </w:r>
      <w:r w:rsidR="005A60D3" w:rsidRPr="00B2523D">
        <w:rPr>
          <w:rFonts w:cs="Garamond"/>
          <w:color w:val="000000"/>
          <w:lang w:val="es-ES_tradnl"/>
        </w:rPr>
        <w:t xml:space="preserve">de </w:t>
      </w:r>
      <w:r w:rsidR="00C5465A" w:rsidRPr="00B2523D">
        <w:rPr>
          <w:rFonts w:cs="Garamond"/>
          <w:color w:val="000000"/>
          <w:lang w:val="es-ES_tradnl"/>
        </w:rPr>
        <w:t>la Entidad</w:t>
      </w:r>
      <w:r w:rsidR="005A60D3" w:rsidRPr="00B2523D">
        <w:rPr>
          <w:rFonts w:cs="Garamond"/>
          <w:color w:val="000000"/>
          <w:lang w:val="es-ES_tradnl"/>
        </w:rPr>
        <w:t xml:space="preserve"> dominante</w:t>
      </w:r>
      <w:r w:rsidRPr="00B2523D">
        <w:rPr>
          <w:rFonts w:cs="Garamond"/>
          <w:color w:val="000000"/>
          <w:lang w:val="es-ES_tradnl"/>
        </w:rPr>
        <w:t xml:space="preserve"> en relación con, entre otras cuestiones, el alcance y el momento de realizac</w:t>
      </w:r>
      <w:r w:rsidR="00745731" w:rsidRPr="00B2523D">
        <w:rPr>
          <w:rFonts w:cs="Garamond"/>
          <w:color w:val="000000"/>
          <w:lang w:val="es-ES_tradnl"/>
        </w:rPr>
        <w:t>ión de la auditoría planificada</w:t>
      </w:r>
      <w:r w:rsidRPr="00B2523D">
        <w:rPr>
          <w:rFonts w:cs="Garamond"/>
          <w:color w:val="000000"/>
          <w:lang w:val="es-ES_tradnl"/>
        </w:rPr>
        <w:t xml:space="preserve"> y los hallazgos significativos de la auditoría, así como cualquier deficiencia significativa del control interno que identificamos en el transcurso de la auditoría.</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Entre los riesgos significativos que ha</w:t>
      </w:r>
      <w:r w:rsidR="00745731" w:rsidRPr="00B2523D">
        <w:rPr>
          <w:rFonts w:cs="Garamond"/>
          <w:color w:val="000000"/>
          <w:lang w:val="es-ES_tradnl"/>
        </w:rPr>
        <w:t xml:space="preserve">n sido objeto de comunicación </w:t>
      </w:r>
      <w:r w:rsidR="00D6507F">
        <w:rPr>
          <w:rFonts w:cs="Garamond"/>
          <w:color w:val="000000"/>
          <w:lang w:val="es-ES_tradnl"/>
        </w:rPr>
        <w:t xml:space="preserve">al </w:t>
      </w:r>
      <w:r w:rsidR="00D6507F" w:rsidRPr="00B2523D">
        <w:rPr>
          <w:rFonts w:cs="Garamond"/>
          <w:color w:val="000000"/>
          <w:lang w:val="es-ES_tradnl"/>
        </w:rPr>
        <w:t xml:space="preserve">Vicepresidente Primero Ejecutivo </w:t>
      </w:r>
      <w:r w:rsidR="005A60D3" w:rsidRPr="00B2523D">
        <w:rPr>
          <w:rFonts w:cs="Garamond"/>
          <w:color w:val="000000"/>
          <w:lang w:val="es-ES_tradnl"/>
        </w:rPr>
        <w:t xml:space="preserve">de </w:t>
      </w:r>
      <w:r w:rsidR="003D3625">
        <w:rPr>
          <w:rFonts w:cs="Garamond"/>
          <w:color w:val="000000"/>
          <w:lang w:val="es-ES_tradnl"/>
        </w:rPr>
        <w:t xml:space="preserve">la </w:t>
      </w:r>
      <w:r w:rsidR="00D97318">
        <w:rPr>
          <w:rFonts w:cs="Garamond"/>
          <w:color w:val="000000"/>
          <w:lang w:val="es-ES_tradnl"/>
        </w:rPr>
        <w:t>Fundación ONCE</w:t>
      </w:r>
      <w:r w:rsidRPr="00B2523D">
        <w:rPr>
          <w:rFonts w:cs="Garamond"/>
          <w:color w:val="000000"/>
          <w:lang w:val="es-ES_tradnl"/>
        </w:rPr>
        <w:t>, determinamos los que han sido de la mayor significatividad en la auditoría de las cuentas anuales</w:t>
      </w:r>
      <w:r w:rsidR="005A60D3" w:rsidRPr="00B2523D">
        <w:rPr>
          <w:rFonts w:cs="Garamond"/>
          <w:color w:val="000000"/>
          <w:lang w:val="es-ES_tradnl"/>
        </w:rPr>
        <w:t xml:space="preserve"> consolidadas</w:t>
      </w:r>
      <w:r w:rsidRPr="00B2523D">
        <w:rPr>
          <w:rFonts w:cs="Garamond"/>
          <w:color w:val="000000"/>
          <w:lang w:val="es-ES_tradnl"/>
        </w:rPr>
        <w:t xml:space="preserve"> del periodo actual y que son, en consecuencia, los riesgos considerados más significativos.</w:t>
      </w:r>
    </w:p>
    <w:p w:rsidR="004023F5" w:rsidRPr="00B2523D" w:rsidRDefault="004023F5" w:rsidP="00B2523D">
      <w:pPr>
        <w:autoSpaceDE w:val="0"/>
        <w:autoSpaceDN w:val="0"/>
        <w:adjustRightInd w:val="0"/>
        <w:spacing w:before="240" w:after="0" w:line="240" w:lineRule="auto"/>
        <w:rPr>
          <w:rFonts w:cs="Garamond"/>
          <w:color w:val="000000"/>
          <w:lang w:val="es-ES_tradnl"/>
        </w:rPr>
      </w:pPr>
      <w:r w:rsidRPr="00B2523D">
        <w:rPr>
          <w:rFonts w:cs="Garamond"/>
          <w:color w:val="000000"/>
          <w:lang w:val="es-ES_tradnl"/>
        </w:rPr>
        <w:t>Describimos esos riesgos en nuestro informe de auditoría salvo que las disposiciones legales o reglamentarias prohíban revelar públicamente la cuestión.</w:t>
      </w:r>
    </w:p>
    <w:p w:rsidR="004023F5" w:rsidRPr="00B2523D" w:rsidRDefault="004023F5" w:rsidP="00B2523D">
      <w:pPr>
        <w:tabs>
          <w:tab w:val="left" w:pos="5387"/>
        </w:tabs>
        <w:spacing w:before="400" w:after="0" w:line="240" w:lineRule="auto"/>
        <w:rPr>
          <w:lang w:val="es-ES_tradnl"/>
        </w:rPr>
      </w:pPr>
      <w:r w:rsidRPr="00B2523D">
        <w:rPr>
          <w:lang w:val="es-ES_tradnl"/>
        </w:rPr>
        <w:tab/>
        <w:t>ERNST &amp; YOUNG, S.L.</w:t>
      </w:r>
    </w:p>
    <w:p w:rsidR="00551751"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r w:rsidR="004023F5" w:rsidRPr="00B2523D">
        <w:rPr>
          <w:sz w:val="18"/>
          <w:szCs w:val="18"/>
          <w:lang w:val="es-ES_tradnl"/>
        </w:rPr>
        <w:t>(Inscrita en el Registro Oficial de Auditores</w:t>
      </w:r>
    </w:p>
    <w:p w:rsidR="004023F5"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proofErr w:type="gramStart"/>
      <w:r w:rsidR="004023F5" w:rsidRPr="00B2523D">
        <w:rPr>
          <w:sz w:val="18"/>
          <w:szCs w:val="18"/>
          <w:lang w:val="es-ES_tradnl"/>
        </w:rPr>
        <w:t>de</w:t>
      </w:r>
      <w:proofErr w:type="gramEnd"/>
      <w:r w:rsidR="004023F5" w:rsidRPr="00B2523D">
        <w:rPr>
          <w:sz w:val="18"/>
          <w:szCs w:val="18"/>
          <w:lang w:val="es-ES_tradnl"/>
        </w:rPr>
        <w:t xml:space="preserve"> Cuentas con el Nº S0530)</w:t>
      </w:r>
    </w:p>
    <w:p w:rsidR="004023F5" w:rsidRPr="00B2523D" w:rsidRDefault="004023F5" w:rsidP="00B2523D">
      <w:pPr>
        <w:tabs>
          <w:tab w:val="left" w:pos="5387"/>
        </w:tabs>
        <w:spacing w:before="1000" w:after="0" w:line="240" w:lineRule="auto"/>
        <w:rPr>
          <w:lang w:val="es-ES_tradnl"/>
        </w:rPr>
      </w:pPr>
      <w:r w:rsidRPr="00B2523D">
        <w:rPr>
          <w:lang w:val="es-ES_tradnl"/>
        </w:rPr>
        <w:tab/>
        <w:t>____________________________</w:t>
      </w:r>
      <w:r w:rsidR="00B2523D" w:rsidRPr="00B2523D">
        <w:rPr>
          <w:lang w:val="es-ES_tradnl"/>
        </w:rPr>
        <w:t>____</w:t>
      </w:r>
    </w:p>
    <w:p w:rsidR="004023F5" w:rsidRPr="00B2523D" w:rsidRDefault="004023F5" w:rsidP="00B2523D">
      <w:pPr>
        <w:tabs>
          <w:tab w:val="left" w:pos="5387"/>
        </w:tabs>
        <w:spacing w:after="0" w:line="240" w:lineRule="auto"/>
        <w:rPr>
          <w:lang w:val="es-ES_tradnl"/>
        </w:rPr>
      </w:pPr>
      <w:r w:rsidRPr="00B2523D">
        <w:rPr>
          <w:lang w:val="es-ES_tradnl"/>
        </w:rPr>
        <w:tab/>
      </w:r>
      <w:r w:rsidR="00745731" w:rsidRPr="00B2523D">
        <w:rPr>
          <w:lang w:val="es-ES_tradnl"/>
        </w:rPr>
        <w:t>Ramón Masip López</w:t>
      </w:r>
    </w:p>
    <w:p w:rsidR="00551751" w:rsidRPr="00B2523D" w:rsidRDefault="004023F5" w:rsidP="00B2523D">
      <w:pPr>
        <w:tabs>
          <w:tab w:val="left" w:pos="5387"/>
        </w:tabs>
        <w:spacing w:after="0" w:line="240" w:lineRule="auto"/>
        <w:rPr>
          <w:sz w:val="18"/>
          <w:szCs w:val="18"/>
          <w:lang w:val="es-ES_tradnl"/>
        </w:rPr>
      </w:pPr>
      <w:r w:rsidRPr="00B2523D">
        <w:rPr>
          <w:lang w:val="es-ES_tradnl"/>
        </w:rPr>
        <w:tab/>
      </w:r>
      <w:r w:rsidRPr="00B2523D">
        <w:rPr>
          <w:sz w:val="18"/>
          <w:szCs w:val="18"/>
          <w:lang w:val="es-ES_tradnl"/>
        </w:rPr>
        <w:t>(Inscrit</w:t>
      </w:r>
      <w:r w:rsidR="00745731" w:rsidRPr="00B2523D">
        <w:rPr>
          <w:sz w:val="18"/>
          <w:szCs w:val="18"/>
          <w:lang w:val="es-ES_tradnl"/>
        </w:rPr>
        <w:t>o</w:t>
      </w:r>
      <w:r w:rsidRPr="00B2523D">
        <w:rPr>
          <w:sz w:val="18"/>
          <w:szCs w:val="18"/>
          <w:lang w:val="es-ES_tradnl"/>
        </w:rPr>
        <w:t xml:space="preserve"> en e</w:t>
      </w:r>
      <w:r w:rsidR="0068582A" w:rsidRPr="00B2523D">
        <w:rPr>
          <w:sz w:val="18"/>
          <w:szCs w:val="18"/>
          <w:lang w:val="es-ES_tradnl"/>
        </w:rPr>
        <w:t>l Registro Oficial de Auditores</w:t>
      </w:r>
    </w:p>
    <w:p w:rsidR="004023F5" w:rsidRPr="00B2523D" w:rsidRDefault="00551751" w:rsidP="00B2523D">
      <w:pPr>
        <w:tabs>
          <w:tab w:val="left" w:pos="5387"/>
        </w:tabs>
        <w:spacing w:after="0" w:line="240" w:lineRule="auto"/>
        <w:rPr>
          <w:sz w:val="18"/>
          <w:szCs w:val="18"/>
          <w:lang w:val="es-ES_tradnl"/>
        </w:rPr>
      </w:pPr>
      <w:r w:rsidRPr="00B2523D">
        <w:rPr>
          <w:sz w:val="18"/>
          <w:szCs w:val="18"/>
          <w:lang w:val="es-ES_tradnl"/>
        </w:rPr>
        <w:tab/>
      </w:r>
      <w:proofErr w:type="gramStart"/>
      <w:r w:rsidR="004023F5" w:rsidRPr="00B2523D">
        <w:rPr>
          <w:sz w:val="18"/>
          <w:szCs w:val="18"/>
          <w:lang w:val="es-ES_tradnl"/>
        </w:rPr>
        <w:t>de</w:t>
      </w:r>
      <w:proofErr w:type="gramEnd"/>
      <w:r w:rsidR="004023F5" w:rsidRPr="00B2523D">
        <w:rPr>
          <w:sz w:val="18"/>
          <w:szCs w:val="18"/>
          <w:lang w:val="es-ES_tradnl"/>
        </w:rPr>
        <w:t xml:space="preserve"> Cuentas con el Nº </w:t>
      </w:r>
      <w:r w:rsidR="00B2523D" w:rsidRPr="00B2523D">
        <w:rPr>
          <w:sz w:val="18"/>
          <w:szCs w:val="18"/>
          <w:lang w:val="es-ES_tradnl"/>
        </w:rPr>
        <w:t>16253</w:t>
      </w:r>
      <w:r w:rsidR="004023F5" w:rsidRPr="00B2523D">
        <w:rPr>
          <w:sz w:val="18"/>
          <w:szCs w:val="18"/>
          <w:lang w:val="es-ES_tradnl"/>
        </w:rPr>
        <w:t>)</w:t>
      </w:r>
    </w:p>
    <w:p w:rsidR="004023F5" w:rsidRPr="00B2523D" w:rsidRDefault="004023F5" w:rsidP="00B2523D">
      <w:pPr>
        <w:pStyle w:val="Default"/>
        <w:rPr>
          <w:rFonts w:ascii="EYInterstate Light" w:hAnsi="EYInterstate Light" w:cs="Garamond"/>
          <w:sz w:val="22"/>
          <w:szCs w:val="22"/>
          <w:lang w:val="es-ES_tradnl"/>
        </w:rPr>
      </w:pPr>
    </w:p>
    <w:p w:rsidR="004023F5" w:rsidRPr="00B2523D" w:rsidRDefault="004023F5" w:rsidP="00B2523D">
      <w:pPr>
        <w:pStyle w:val="Default"/>
        <w:rPr>
          <w:rFonts w:ascii="EYInterstate Light" w:hAnsi="EYInterstate Light" w:cs="Garamond"/>
          <w:sz w:val="22"/>
          <w:szCs w:val="22"/>
          <w:lang w:val="es-ES_tradnl"/>
        </w:rPr>
      </w:pPr>
    </w:p>
    <w:p w:rsidR="004023F5" w:rsidRPr="00B2523D" w:rsidRDefault="004023F5" w:rsidP="00B2523D">
      <w:pPr>
        <w:pStyle w:val="Default"/>
        <w:rPr>
          <w:rFonts w:ascii="EYInterstate Light" w:hAnsi="EYInterstate Light" w:cs="Garamond"/>
          <w:sz w:val="22"/>
          <w:szCs w:val="22"/>
          <w:lang w:val="es-ES_tradnl"/>
        </w:rPr>
      </w:pPr>
    </w:p>
    <w:p w:rsidR="001A0548" w:rsidRPr="00B2523D" w:rsidRDefault="00F25EA8" w:rsidP="00B2523D">
      <w:pPr>
        <w:pStyle w:val="Default"/>
        <w:rPr>
          <w:rFonts w:ascii="EYInterstate Light" w:hAnsi="EYInterstate Light" w:cs="Garamond"/>
          <w:lang w:val="es-ES_tradnl"/>
        </w:rPr>
      </w:pPr>
      <w:r w:rsidRPr="00F25EA8">
        <w:rPr>
          <w:rFonts w:ascii="EYInterstate Light" w:hAnsi="EYInterstate Light" w:cs="Garamond"/>
          <w:sz w:val="22"/>
          <w:szCs w:val="22"/>
          <w:lang w:val="es-ES_tradnl"/>
        </w:rPr>
        <w:t>21</w:t>
      </w:r>
      <w:r w:rsidR="004023F5" w:rsidRPr="00F25EA8">
        <w:rPr>
          <w:rFonts w:ascii="EYInterstate Light" w:hAnsi="EYInterstate Light" w:cs="Garamond"/>
          <w:sz w:val="22"/>
          <w:szCs w:val="22"/>
          <w:lang w:val="es-ES_tradnl"/>
        </w:rPr>
        <w:t xml:space="preserve"> de </w:t>
      </w:r>
      <w:r w:rsidR="00407A37" w:rsidRPr="00F25EA8">
        <w:rPr>
          <w:rFonts w:ascii="EYInterstate Light" w:hAnsi="EYInterstate Light" w:cs="Garamond"/>
          <w:sz w:val="22"/>
          <w:szCs w:val="22"/>
          <w:lang w:val="es-ES_tradnl"/>
        </w:rPr>
        <w:t>mayo</w:t>
      </w:r>
      <w:r w:rsidR="004023F5" w:rsidRPr="00F25EA8">
        <w:rPr>
          <w:rFonts w:ascii="EYInterstate Light" w:hAnsi="EYInterstate Light" w:cs="Garamond"/>
          <w:sz w:val="22"/>
          <w:szCs w:val="22"/>
          <w:lang w:val="es-ES_tradnl"/>
        </w:rPr>
        <w:t xml:space="preserve"> de 20</w:t>
      </w:r>
      <w:r w:rsidR="00EF62EB" w:rsidRPr="00F25EA8">
        <w:rPr>
          <w:rFonts w:ascii="EYInterstate Light" w:hAnsi="EYInterstate Light" w:cs="Garamond"/>
          <w:sz w:val="22"/>
          <w:szCs w:val="22"/>
          <w:lang w:val="es-ES_tradnl"/>
        </w:rPr>
        <w:t>18</w:t>
      </w:r>
    </w:p>
    <w:sectPr w:rsidR="001A0548" w:rsidRPr="00B2523D" w:rsidSect="00CF2711">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5D" w:rsidRDefault="009B1B5D" w:rsidP="00365BDD">
      <w:pPr>
        <w:spacing w:after="0" w:line="240" w:lineRule="auto"/>
      </w:pPr>
      <w:r>
        <w:separator/>
      </w:r>
    </w:p>
  </w:endnote>
  <w:endnote w:type="continuationSeparator" w:id="0">
    <w:p w:rsidR="009B1B5D" w:rsidRDefault="009B1B5D"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5D" w:rsidRDefault="009B1B5D" w:rsidP="00365BDD">
      <w:pPr>
        <w:spacing w:after="0" w:line="240" w:lineRule="auto"/>
      </w:pPr>
      <w:r>
        <w:separator/>
      </w:r>
    </w:p>
  </w:footnote>
  <w:footnote w:type="continuationSeparator" w:id="0">
    <w:p w:rsidR="009B1B5D" w:rsidRDefault="009B1B5D"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0F5EB8">
      <w:rPr>
        <w:noProof/>
        <w:sz w:val="20"/>
        <w:szCs w:val="20"/>
      </w:rPr>
      <w:t>7</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950992"/>
    <w:multiLevelType w:val="hybridMultilevel"/>
    <w:tmpl w:val="8D3E05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10"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2"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3"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4839BE"/>
    <w:multiLevelType w:val="hybridMultilevel"/>
    <w:tmpl w:val="C7604C28"/>
    <w:lvl w:ilvl="0" w:tplc="FFFFFFFF">
      <w:start w:val="1"/>
      <w:numFmt w:val="bullet"/>
      <w:lvlText w:val=""/>
      <w:lvlJc w:val="left"/>
      <w:pPr>
        <w:tabs>
          <w:tab w:val="num" w:pos="720"/>
        </w:tabs>
        <w:ind w:left="720" w:hanging="360"/>
      </w:pPr>
      <w:rPr>
        <w:rFonts w:ascii="Symbol" w:hAnsi="Symbol"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15"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6"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CA804B0"/>
    <w:multiLevelType w:val="hybridMultilevel"/>
    <w:tmpl w:val="FD987796"/>
    <w:lvl w:ilvl="0" w:tplc="FFFFFFFF">
      <w:start w:val="1"/>
      <w:numFmt w:val="bullet"/>
      <w:lvlText w:val=""/>
      <w:lvlJc w:val="left"/>
      <w:pPr>
        <w:tabs>
          <w:tab w:val="num" w:pos="720"/>
        </w:tabs>
        <w:ind w:left="720" w:hanging="360"/>
      </w:pPr>
      <w:rPr>
        <w:rFonts w:ascii="Symbol" w:hAnsi="Symbol"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E1D62E4"/>
    <w:multiLevelType w:val="hybridMultilevel"/>
    <w:tmpl w:val="13A4FBB6"/>
    <w:lvl w:ilvl="0" w:tplc="0C0A000D">
      <w:start w:val="1"/>
      <w:numFmt w:val="bullet"/>
      <w:lvlText w:val=""/>
      <w:lvlJc w:val="left"/>
      <w:pPr>
        <w:tabs>
          <w:tab w:val="num" w:pos="720"/>
        </w:tabs>
        <w:ind w:left="720" w:hanging="360"/>
      </w:pPr>
      <w:rPr>
        <w:rFonts w:ascii="Wingdings" w:hAnsi="Wingdings" w:hint="default"/>
      </w:rPr>
    </w:lvl>
    <w:lvl w:ilvl="1" w:tplc="86B68568" w:tentative="1">
      <w:start w:val="1"/>
      <w:numFmt w:val="bullet"/>
      <w:lvlText w:val="►"/>
      <w:lvlJc w:val="left"/>
      <w:pPr>
        <w:tabs>
          <w:tab w:val="num" w:pos="1440"/>
        </w:tabs>
        <w:ind w:left="1440" w:hanging="360"/>
      </w:pPr>
      <w:rPr>
        <w:rFonts w:ascii="Arial" w:hAnsi="Arial" w:hint="default"/>
      </w:rPr>
    </w:lvl>
    <w:lvl w:ilvl="2" w:tplc="499AE540" w:tentative="1">
      <w:start w:val="1"/>
      <w:numFmt w:val="bullet"/>
      <w:lvlText w:val="►"/>
      <w:lvlJc w:val="left"/>
      <w:pPr>
        <w:tabs>
          <w:tab w:val="num" w:pos="2160"/>
        </w:tabs>
        <w:ind w:left="2160" w:hanging="360"/>
      </w:pPr>
      <w:rPr>
        <w:rFonts w:ascii="Arial" w:hAnsi="Arial" w:hint="default"/>
      </w:rPr>
    </w:lvl>
    <w:lvl w:ilvl="3" w:tplc="7C40130A" w:tentative="1">
      <w:start w:val="1"/>
      <w:numFmt w:val="bullet"/>
      <w:lvlText w:val="►"/>
      <w:lvlJc w:val="left"/>
      <w:pPr>
        <w:tabs>
          <w:tab w:val="num" w:pos="2880"/>
        </w:tabs>
        <w:ind w:left="2880" w:hanging="360"/>
      </w:pPr>
      <w:rPr>
        <w:rFonts w:ascii="Arial" w:hAnsi="Arial" w:hint="default"/>
      </w:rPr>
    </w:lvl>
    <w:lvl w:ilvl="4" w:tplc="D83AD42A" w:tentative="1">
      <w:start w:val="1"/>
      <w:numFmt w:val="bullet"/>
      <w:lvlText w:val="►"/>
      <w:lvlJc w:val="left"/>
      <w:pPr>
        <w:tabs>
          <w:tab w:val="num" w:pos="3600"/>
        </w:tabs>
        <w:ind w:left="3600" w:hanging="360"/>
      </w:pPr>
      <w:rPr>
        <w:rFonts w:ascii="Arial" w:hAnsi="Arial" w:hint="default"/>
      </w:rPr>
    </w:lvl>
    <w:lvl w:ilvl="5" w:tplc="DDB4F2EA" w:tentative="1">
      <w:start w:val="1"/>
      <w:numFmt w:val="bullet"/>
      <w:lvlText w:val="►"/>
      <w:lvlJc w:val="left"/>
      <w:pPr>
        <w:tabs>
          <w:tab w:val="num" w:pos="4320"/>
        </w:tabs>
        <w:ind w:left="4320" w:hanging="360"/>
      </w:pPr>
      <w:rPr>
        <w:rFonts w:ascii="Arial" w:hAnsi="Arial" w:hint="default"/>
      </w:rPr>
    </w:lvl>
    <w:lvl w:ilvl="6" w:tplc="A84E5E6E" w:tentative="1">
      <w:start w:val="1"/>
      <w:numFmt w:val="bullet"/>
      <w:lvlText w:val="►"/>
      <w:lvlJc w:val="left"/>
      <w:pPr>
        <w:tabs>
          <w:tab w:val="num" w:pos="5040"/>
        </w:tabs>
        <w:ind w:left="5040" w:hanging="360"/>
      </w:pPr>
      <w:rPr>
        <w:rFonts w:ascii="Arial" w:hAnsi="Arial" w:hint="default"/>
      </w:rPr>
    </w:lvl>
    <w:lvl w:ilvl="7" w:tplc="04CED2D8" w:tentative="1">
      <w:start w:val="1"/>
      <w:numFmt w:val="bullet"/>
      <w:lvlText w:val="►"/>
      <w:lvlJc w:val="left"/>
      <w:pPr>
        <w:tabs>
          <w:tab w:val="num" w:pos="5760"/>
        </w:tabs>
        <w:ind w:left="5760" w:hanging="360"/>
      </w:pPr>
      <w:rPr>
        <w:rFonts w:ascii="Arial" w:hAnsi="Arial" w:hint="default"/>
      </w:rPr>
    </w:lvl>
    <w:lvl w:ilvl="8" w:tplc="424E166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98574F"/>
    <w:multiLevelType w:val="hybridMultilevel"/>
    <w:tmpl w:val="95148D64"/>
    <w:lvl w:ilvl="0" w:tplc="98020B60">
      <w:start w:val="1"/>
      <w:numFmt w:val="bullet"/>
      <w:lvlText w:val="•"/>
      <w:lvlJc w:val="left"/>
      <w:pPr>
        <w:tabs>
          <w:tab w:val="num" w:pos="720"/>
        </w:tabs>
        <w:ind w:left="720" w:hanging="360"/>
      </w:pPr>
      <w:rPr>
        <w:rFonts w:ascii="EYInterstate Light" w:hAnsi="EYInterstate Light"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22"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4"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5" w15:restartNumberingAfterBreak="0">
    <w:nsid w:val="7CD5538C"/>
    <w:multiLevelType w:val="hybridMultilevel"/>
    <w:tmpl w:val="C48CAEFA"/>
    <w:lvl w:ilvl="0" w:tplc="040A0001">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2"/>
  </w:num>
  <w:num w:numId="4">
    <w:abstractNumId w:val="3"/>
  </w:num>
  <w:num w:numId="5">
    <w:abstractNumId w:val="10"/>
  </w:num>
  <w:num w:numId="6">
    <w:abstractNumId w:val="8"/>
  </w:num>
  <w:num w:numId="7">
    <w:abstractNumId w:val="5"/>
  </w:num>
  <w:num w:numId="8">
    <w:abstractNumId w:val="13"/>
  </w:num>
  <w:num w:numId="9">
    <w:abstractNumId w:val="22"/>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20"/>
  </w:num>
  <w:num w:numId="12">
    <w:abstractNumId w:val="9"/>
  </w:num>
  <w:num w:numId="13">
    <w:abstractNumId w:val="12"/>
  </w:num>
  <w:num w:numId="14">
    <w:abstractNumId w:val="19"/>
  </w:num>
  <w:num w:numId="15">
    <w:abstractNumId w:val="23"/>
  </w:num>
  <w:num w:numId="16">
    <w:abstractNumId w:val="4"/>
  </w:num>
  <w:num w:numId="17">
    <w:abstractNumId w:val="6"/>
  </w:num>
  <w:num w:numId="18">
    <w:abstractNumId w:val="24"/>
  </w:num>
  <w:num w:numId="19">
    <w:abstractNumId w:val="15"/>
  </w:num>
  <w:num w:numId="20">
    <w:abstractNumId w:val="11"/>
  </w:num>
  <w:num w:numId="21">
    <w:abstractNumId w:val="1"/>
  </w:num>
  <w:num w:numId="22">
    <w:abstractNumId w:val="7"/>
  </w:num>
  <w:num w:numId="23">
    <w:abstractNumId w:val="18"/>
  </w:num>
  <w:num w:numId="24">
    <w:abstractNumId w:val="21"/>
  </w:num>
  <w:num w:numId="25">
    <w:abstractNumId w:val="25"/>
  </w:num>
  <w:num w:numId="26">
    <w:abstractNumId w:val="14"/>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7F8A"/>
    <w:rsid w:val="00022162"/>
    <w:rsid w:val="00023C29"/>
    <w:rsid w:val="000245E3"/>
    <w:rsid w:val="00027A7A"/>
    <w:rsid w:val="00034EFC"/>
    <w:rsid w:val="0004022B"/>
    <w:rsid w:val="000718CA"/>
    <w:rsid w:val="0007227B"/>
    <w:rsid w:val="00096A24"/>
    <w:rsid w:val="000A66DB"/>
    <w:rsid w:val="000B05EA"/>
    <w:rsid w:val="000D0B2D"/>
    <w:rsid w:val="000E3E48"/>
    <w:rsid w:val="000F5EB8"/>
    <w:rsid w:val="0010049F"/>
    <w:rsid w:val="001100F7"/>
    <w:rsid w:val="00135F9B"/>
    <w:rsid w:val="00141EEE"/>
    <w:rsid w:val="00150CB9"/>
    <w:rsid w:val="00156C69"/>
    <w:rsid w:val="0017573C"/>
    <w:rsid w:val="00191C1E"/>
    <w:rsid w:val="001A0548"/>
    <w:rsid w:val="001B6478"/>
    <w:rsid w:val="001C0B70"/>
    <w:rsid w:val="001C4E77"/>
    <w:rsid w:val="001D1162"/>
    <w:rsid w:val="001D71A2"/>
    <w:rsid w:val="001E0DC8"/>
    <w:rsid w:val="001F4FE3"/>
    <w:rsid w:val="0021455D"/>
    <w:rsid w:val="0025329F"/>
    <w:rsid w:val="00256D23"/>
    <w:rsid w:val="00263A0B"/>
    <w:rsid w:val="00267909"/>
    <w:rsid w:val="00270706"/>
    <w:rsid w:val="002A2C70"/>
    <w:rsid w:val="002A4154"/>
    <w:rsid w:val="002A68C9"/>
    <w:rsid w:val="002A6E66"/>
    <w:rsid w:val="002E7407"/>
    <w:rsid w:val="00315E82"/>
    <w:rsid w:val="00340A3A"/>
    <w:rsid w:val="003612B5"/>
    <w:rsid w:val="00365BDD"/>
    <w:rsid w:val="00370510"/>
    <w:rsid w:val="003710F9"/>
    <w:rsid w:val="003720CD"/>
    <w:rsid w:val="003A55CE"/>
    <w:rsid w:val="003B577E"/>
    <w:rsid w:val="003C0A13"/>
    <w:rsid w:val="003C21A8"/>
    <w:rsid w:val="003D3625"/>
    <w:rsid w:val="003E03BC"/>
    <w:rsid w:val="003E4B85"/>
    <w:rsid w:val="003E5DB1"/>
    <w:rsid w:val="004023F5"/>
    <w:rsid w:val="00407A37"/>
    <w:rsid w:val="00413EC9"/>
    <w:rsid w:val="004156BA"/>
    <w:rsid w:val="0041752A"/>
    <w:rsid w:val="00426787"/>
    <w:rsid w:val="00470997"/>
    <w:rsid w:val="0048697D"/>
    <w:rsid w:val="004A0E67"/>
    <w:rsid w:val="004B1096"/>
    <w:rsid w:val="004B4DBC"/>
    <w:rsid w:val="004D52BB"/>
    <w:rsid w:val="00523A8D"/>
    <w:rsid w:val="005379CD"/>
    <w:rsid w:val="00551751"/>
    <w:rsid w:val="00567510"/>
    <w:rsid w:val="00567A74"/>
    <w:rsid w:val="00586397"/>
    <w:rsid w:val="00590D41"/>
    <w:rsid w:val="005955E5"/>
    <w:rsid w:val="005A60D3"/>
    <w:rsid w:val="005A68A7"/>
    <w:rsid w:val="005B7782"/>
    <w:rsid w:val="005C4DE4"/>
    <w:rsid w:val="005D07D6"/>
    <w:rsid w:val="005D14DB"/>
    <w:rsid w:val="005E592B"/>
    <w:rsid w:val="005E5E05"/>
    <w:rsid w:val="005F2C17"/>
    <w:rsid w:val="005F34D0"/>
    <w:rsid w:val="00612EB9"/>
    <w:rsid w:val="00613F7C"/>
    <w:rsid w:val="00624F22"/>
    <w:rsid w:val="00636CE7"/>
    <w:rsid w:val="006405F5"/>
    <w:rsid w:val="00656153"/>
    <w:rsid w:val="00661AFE"/>
    <w:rsid w:val="0066708B"/>
    <w:rsid w:val="00682051"/>
    <w:rsid w:val="0068582A"/>
    <w:rsid w:val="006A117B"/>
    <w:rsid w:val="006D1CD8"/>
    <w:rsid w:val="006F3860"/>
    <w:rsid w:val="00700418"/>
    <w:rsid w:val="007333D9"/>
    <w:rsid w:val="00734F17"/>
    <w:rsid w:val="00742236"/>
    <w:rsid w:val="00744503"/>
    <w:rsid w:val="0074532F"/>
    <w:rsid w:val="00745731"/>
    <w:rsid w:val="00757C87"/>
    <w:rsid w:val="007967A1"/>
    <w:rsid w:val="007B5A1E"/>
    <w:rsid w:val="007D5FC0"/>
    <w:rsid w:val="00810C9D"/>
    <w:rsid w:val="008342B6"/>
    <w:rsid w:val="00837E37"/>
    <w:rsid w:val="008423F2"/>
    <w:rsid w:val="008841BA"/>
    <w:rsid w:val="00897019"/>
    <w:rsid w:val="008A47FD"/>
    <w:rsid w:val="008B17F4"/>
    <w:rsid w:val="008B524C"/>
    <w:rsid w:val="008C09DA"/>
    <w:rsid w:val="008C2926"/>
    <w:rsid w:val="008D53AE"/>
    <w:rsid w:val="008E3B47"/>
    <w:rsid w:val="008E52BF"/>
    <w:rsid w:val="008F4D3A"/>
    <w:rsid w:val="00932A12"/>
    <w:rsid w:val="00943AE1"/>
    <w:rsid w:val="00980C2B"/>
    <w:rsid w:val="009837E4"/>
    <w:rsid w:val="009A7F97"/>
    <w:rsid w:val="009B0F7C"/>
    <w:rsid w:val="009B1B5D"/>
    <w:rsid w:val="009B4EE2"/>
    <w:rsid w:val="009C1D71"/>
    <w:rsid w:val="009E7172"/>
    <w:rsid w:val="00A07CCA"/>
    <w:rsid w:val="00A1629E"/>
    <w:rsid w:val="00A56D32"/>
    <w:rsid w:val="00A640EA"/>
    <w:rsid w:val="00A73946"/>
    <w:rsid w:val="00A76A01"/>
    <w:rsid w:val="00A811AA"/>
    <w:rsid w:val="00A85B2F"/>
    <w:rsid w:val="00AB04DE"/>
    <w:rsid w:val="00AB7CDA"/>
    <w:rsid w:val="00AC64FF"/>
    <w:rsid w:val="00AC7570"/>
    <w:rsid w:val="00AE3E43"/>
    <w:rsid w:val="00B00BBB"/>
    <w:rsid w:val="00B0381D"/>
    <w:rsid w:val="00B14DA8"/>
    <w:rsid w:val="00B2523D"/>
    <w:rsid w:val="00B34253"/>
    <w:rsid w:val="00B35684"/>
    <w:rsid w:val="00B60EAC"/>
    <w:rsid w:val="00B81F30"/>
    <w:rsid w:val="00B84C2B"/>
    <w:rsid w:val="00BB0B49"/>
    <w:rsid w:val="00BC1A14"/>
    <w:rsid w:val="00BC1BAF"/>
    <w:rsid w:val="00BE079B"/>
    <w:rsid w:val="00BF69E1"/>
    <w:rsid w:val="00C16531"/>
    <w:rsid w:val="00C23F05"/>
    <w:rsid w:val="00C5465A"/>
    <w:rsid w:val="00C55D9F"/>
    <w:rsid w:val="00C667F5"/>
    <w:rsid w:val="00C66BAA"/>
    <w:rsid w:val="00C708BA"/>
    <w:rsid w:val="00C71B9E"/>
    <w:rsid w:val="00CA0064"/>
    <w:rsid w:val="00CB205A"/>
    <w:rsid w:val="00CB3E65"/>
    <w:rsid w:val="00CC29F7"/>
    <w:rsid w:val="00CC532F"/>
    <w:rsid w:val="00CC589E"/>
    <w:rsid w:val="00CD261F"/>
    <w:rsid w:val="00CE5B03"/>
    <w:rsid w:val="00CF26EC"/>
    <w:rsid w:val="00CF2711"/>
    <w:rsid w:val="00D04FB5"/>
    <w:rsid w:val="00D3604F"/>
    <w:rsid w:val="00D42FFE"/>
    <w:rsid w:val="00D51C82"/>
    <w:rsid w:val="00D6507F"/>
    <w:rsid w:val="00D75DDF"/>
    <w:rsid w:val="00D76A91"/>
    <w:rsid w:val="00D8016B"/>
    <w:rsid w:val="00D97318"/>
    <w:rsid w:val="00DA5030"/>
    <w:rsid w:val="00DB10EA"/>
    <w:rsid w:val="00DB1182"/>
    <w:rsid w:val="00DC195C"/>
    <w:rsid w:val="00DD0879"/>
    <w:rsid w:val="00DE1291"/>
    <w:rsid w:val="00DE5A6C"/>
    <w:rsid w:val="00DF7B19"/>
    <w:rsid w:val="00E04716"/>
    <w:rsid w:val="00E26BCC"/>
    <w:rsid w:val="00E41B4A"/>
    <w:rsid w:val="00E431A3"/>
    <w:rsid w:val="00E50A5B"/>
    <w:rsid w:val="00E60FE7"/>
    <w:rsid w:val="00E67557"/>
    <w:rsid w:val="00E778CE"/>
    <w:rsid w:val="00E84255"/>
    <w:rsid w:val="00E91997"/>
    <w:rsid w:val="00E93D3B"/>
    <w:rsid w:val="00EB3C8A"/>
    <w:rsid w:val="00EC4AB5"/>
    <w:rsid w:val="00EC50A9"/>
    <w:rsid w:val="00EC6081"/>
    <w:rsid w:val="00ED18A5"/>
    <w:rsid w:val="00ED21E9"/>
    <w:rsid w:val="00EE5125"/>
    <w:rsid w:val="00EF62EB"/>
    <w:rsid w:val="00F02E72"/>
    <w:rsid w:val="00F04B97"/>
    <w:rsid w:val="00F25EA8"/>
    <w:rsid w:val="00F27F88"/>
    <w:rsid w:val="00F522D0"/>
    <w:rsid w:val="00F55A9E"/>
    <w:rsid w:val="00F901F7"/>
    <w:rsid w:val="00FA6958"/>
    <w:rsid w:val="00FB0CF4"/>
    <w:rsid w:val="00FB2AFD"/>
    <w:rsid w:val="00FB5C32"/>
    <w:rsid w:val="00FC2C9D"/>
    <w:rsid w:val="00FD211F"/>
    <w:rsid w:val="00FE4207"/>
    <w:rsid w:val="00FE5C8B"/>
    <w:rsid w:val="00FF0EC7"/>
    <w:rsid w:val="00FF4CFA"/>
    <w:rsid w:val="00FF5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5368E-7C0B-4AC7-B484-3F0072CE1D5F}">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33591</vt:lpwstr>
  </property>
  <property fmtid="{D5CDD505-2E9C-101B-9397-08002B2CF9AE}" pid="4" name="OptimizationTime">
    <vt:lpwstr>20180529_1204</vt:lpwstr>
  </property>
</Properties>
</file>

<file path=docProps/app.xml><?xml version="1.0" encoding="utf-8"?>
<Properties xmlns="http://schemas.openxmlformats.org/officeDocument/2006/extended-properties" xmlns:vt="http://schemas.openxmlformats.org/officeDocument/2006/docPropsVTypes">
  <Template>Normal.dotm</Template>
  <TotalTime>3</TotalTime>
  <Pages>8</Pages>
  <Words>2746</Words>
  <Characters>15108</Characters>
  <Application>Microsoft Office Word</Application>
  <DocSecurity>4</DocSecurity>
  <Lines>125</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Ernst &amp; Young</Company>
  <LinksUpToDate>false</LinksUpToDate>
  <CharactersWithSpaces>17819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2018-05-25T10:15:00Z</cp:lastPrinted>
  <dcterms:created xsi:type="dcterms:W3CDTF">2018-05-25T10:17:00Z</dcterms:created>
  <dcterms:modified xsi:type="dcterms:W3CDTF">2018-05-25T10:17:00Z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-355093086</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