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396"/>
      </w:tblGrid>
      <w:tr w:rsidR="00433B9B" w:rsidTr="00D01D0C">
        <w:trPr>
          <w:trHeight w:hRule="exact" w:val="3584"/>
        </w:trPr>
        <w:tc>
          <w:tcPr>
            <w:tcW w:w="5396" w:type="dxa"/>
            <w:vAlign w:val="center"/>
          </w:tcPr>
          <w:p w:rsidR="00D01D0C" w:rsidRPr="00C339DC" w:rsidRDefault="00D01D0C" w:rsidP="00C339DC">
            <w:pPr>
              <w:pStyle w:val="Portada"/>
              <w:ind w:right="284"/>
              <w:rPr>
                <w:b/>
                <w:sz w:val="34"/>
                <w:szCs w:val="34"/>
              </w:rPr>
            </w:pPr>
            <w:bookmarkStart w:id="0" w:name="_GoBack"/>
            <w:bookmarkEnd w:id="0"/>
            <w:r w:rsidRPr="00C339DC">
              <w:rPr>
                <w:b/>
                <w:sz w:val="34"/>
                <w:szCs w:val="34"/>
              </w:rPr>
              <w:t xml:space="preserve">Fundación ONCE </w:t>
            </w:r>
          </w:p>
          <w:p w:rsidR="00D01D0C" w:rsidRPr="00C339DC" w:rsidRDefault="00D01D0C" w:rsidP="00C339DC">
            <w:pPr>
              <w:pStyle w:val="Portada"/>
              <w:ind w:right="284"/>
              <w:rPr>
                <w:b/>
                <w:sz w:val="34"/>
                <w:szCs w:val="34"/>
              </w:rPr>
            </w:pPr>
            <w:r w:rsidRPr="00C339DC">
              <w:rPr>
                <w:b/>
                <w:sz w:val="34"/>
                <w:szCs w:val="34"/>
              </w:rPr>
              <w:t xml:space="preserve">para la Cooperación e Inclusión Social de </w:t>
            </w:r>
          </w:p>
          <w:p w:rsidR="00433B9B" w:rsidRPr="00C339DC" w:rsidRDefault="00D01D0C" w:rsidP="00C339DC">
            <w:pPr>
              <w:pStyle w:val="Portada"/>
              <w:ind w:right="284"/>
              <w:rPr>
                <w:sz w:val="34"/>
                <w:szCs w:val="34"/>
              </w:rPr>
            </w:pPr>
            <w:r w:rsidRPr="00C339DC">
              <w:rPr>
                <w:b/>
                <w:sz w:val="34"/>
                <w:szCs w:val="34"/>
              </w:rPr>
              <w:t>Personas con Discapacidad</w:t>
            </w:r>
          </w:p>
          <w:p w:rsidR="00433B9B" w:rsidRDefault="00433B9B" w:rsidP="00C339DC">
            <w:pPr>
              <w:pStyle w:val="Portada"/>
              <w:ind w:right="284"/>
              <w:rPr>
                <w:sz w:val="24"/>
              </w:rPr>
            </w:pPr>
          </w:p>
          <w:p w:rsidR="00433B9B" w:rsidRDefault="00C317CE" w:rsidP="00C339DC">
            <w:pPr>
              <w:pStyle w:val="PortadaDos"/>
              <w:ind w:left="0" w:right="284"/>
            </w:pPr>
            <w:r w:rsidRPr="00C317CE">
              <w:rPr>
                <w:sz w:val="28"/>
              </w:rPr>
              <w:t>Informe especial de procedimientos acordados</w:t>
            </w:r>
          </w:p>
        </w:tc>
      </w:tr>
    </w:tbl>
    <w:p w:rsidR="00433B9B" w:rsidRDefault="00433B9B" w:rsidP="00433B9B"/>
    <w:p w:rsidR="00433B9B" w:rsidRDefault="00433B9B" w:rsidP="00433B9B">
      <w:pPr>
        <w:pStyle w:val="Portada"/>
        <w:sectPr w:rsidR="00433B9B">
          <w:footerReference w:type="even" r:id="rId9"/>
          <w:footerReference w:type="default" r:id="rId10"/>
          <w:pgSz w:w="11907" w:h="16840" w:code="9"/>
          <w:pgMar w:top="4026" w:right="1928" w:bottom="851" w:left="3788" w:header="1418" w:footer="1418" w:gutter="0"/>
          <w:pgNumType w:start="1"/>
          <w:cols w:space="720"/>
          <w:titlePg/>
        </w:sectPr>
      </w:pPr>
    </w:p>
    <w:p w:rsidR="00433B9B" w:rsidRDefault="00433B9B" w:rsidP="00433B9B">
      <w:pPr>
        <w:pStyle w:val="accionistas"/>
        <w:spacing w:after="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C317CE" w:rsidRPr="00C317CE" w:rsidRDefault="00C317CE" w:rsidP="00C317CE">
      <w:pPr>
        <w:keepLines/>
        <w:autoSpaceDE w:val="0"/>
        <w:autoSpaceDN w:val="0"/>
        <w:adjustRightInd w:val="0"/>
        <w:spacing w:after="240" w:line="240" w:lineRule="atLeast"/>
        <w:rPr>
          <w:rFonts w:ascii="Times New Roman" w:hAnsi="Times New Roman"/>
          <w:sz w:val="21"/>
          <w:szCs w:val="21"/>
          <w:u w:val="single"/>
        </w:rPr>
      </w:pPr>
      <w:r w:rsidRPr="00C317CE">
        <w:rPr>
          <w:rFonts w:ascii="Times New Roman" w:hAnsi="Times New Roman"/>
          <w:sz w:val="21"/>
          <w:szCs w:val="21"/>
          <w:u w:val="single"/>
        </w:rPr>
        <w:t>INFORME ESPECIAL DE PROCEDIMIENTOS ACORDADOS</w:t>
      </w:r>
    </w:p>
    <w:p w:rsidR="00C317CE" w:rsidRPr="00C317CE" w:rsidRDefault="00C317CE" w:rsidP="00C317CE">
      <w:pPr>
        <w:pStyle w:val="CartaDos"/>
        <w:keepLines/>
        <w:spacing w:after="240"/>
        <w:rPr>
          <w:noProof w:val="0"/>
          <w:sz w:val="21"/>
          <w:szCs w:val="21"/>
        </w:rPr>
      </w:pPr>
      <w:r w:rsidRPr="00C317CE">
        <w:rPr>
          <w:noProof w:val="0"/>
          <w:sz w:val="21"/>
          <w:szCs w:val="21"/>
        </w:rPr>
        <w:t>Al Patronato de</w:t>
      </w:r>
      <w:r w:rsidRPr="00C317CE">
        <w:rPr>
          <w:noProof w:val="0"/>
          <w:sz w:val="21"/>
          <w:szCs w:val="21"/>
        </w:rPr>
        <w:br/>
        <w:t>Fundación ONCE para la Cooperación e Inclusión Social de Personas con Discapacidad:</w:t>
      </w:r>
    </w:p>
    <w:p w:rsidR="00C317CE" w:rsidRPr="00C317CE" w:rsidRDefault="00C317CE" w:rsidP="00C317CE">
      <w:pPr>
        <w:pStyle w:val="Carta"/>
        <w:keepLines/>
        <w:rPr>
          <w:sz w:val="21"/>
          <w:szCs w:val="21"/>
        </w:rPr>
      </w:pPr>
      <w:r w:rsidRPr="00C317CE">
        <w:rPr>
          <w:sz w:val="21"/>
          <w:szCs w:val="21"/>
          <w:lang w:val="es-ES_tradnl"/>
        </w:rPr>
        <w:t xml:space="preserve">De acuerdo con nuestra carta propuesta de fecha 18 de diciembre de 2015 hemos realizado los procedimientos acordados con Ustedes relacionados a continuación, sobre </w:t>
      </w:r>
      <w:r w:rsidRPr="00C317CE">
        <w:rPr>
          <w:sz w:val="21"/>
          <w:szCs w:val="21"/>
        </w:rPr>
        <w:t>los documentos de presentación de la asignación de recursos de Fundación ONCE para la Cooperación e Inclusión Social de Personas con Discapacidad (en adelante, “Fundación ONCE”) al 31 de diciembre de 2015, cuya preparación es responsabilidad de la Dirección de la Fundación ONCE y enmarcados en:</w:t>
      </w:r>
    </w:p>
    <w:p w:rsidR="00C317CE" w:rsidRPr="00C317CE" w:rsidRDefault="00C317CE" w:rsidP="00C317CE">
      <w:pPr>
        <w:pStyle w:val="ListUnoCarta"/>
        <w:keepLines/>
        <w:jc w:val="both"/>
        <w:rPr>
          <w:sz w:val="21"/>
          <w:szCs w:val="21"/>
          <w:lang w:eastAsia="es-ES"/>
        </w:rPr>
      </w:pPr>
      <w:r w:rsidRPr="00C317CE">
        <w:rPr>
          <w:sz w:val="21"/>
          <w:szCs w:val="21"/>
          <w:lang w:eastAsia="es-ES"/>
        </w:rPr>
        <w:t>-</w:t>
      </w:r>
      <w:r w:rsidRPr="00C317CE">
        <w:rPr>
          <w:sz w:val="21"/>
          <w:szCs w:val="21"/>
          <w:lang w:eastAsia="es-ES"/>
        </w:rPr>
        <w:tab/>
        <w:t>Las cláusulas 6ª y 8ª del Acuerdo General entre el Gobierno de la Nación y la Organización Nacional de Ciegos Españoles (ONCE) en materia de cooperación, solidaridad y competitividad para la estabilidad de futuro de la ONCE para el período 2012 – 2021 aprobado por el Consejo de Ministros del día 18 de noviembre de 2011.</w:t>
      </w:r>
    </w:p>
    <w:p w:rsidR="00C317CE" w:rsidRPr="00C317CE" w:rsidRDefault="00C317CE" w:rsidP="00C317CE">
      <w:pPr>
        <w:pStyle w:val="ListUnoCarta"/>
        <w:keepLines/>
        <w:jc w:val="both"/>
        <w:rPr>
          <w:sz w:val="21"/>
          <w:szCs w:val="21"/>
          <w:lang w:eastAsia="es-ES"/>
        </w:rPr>
      </w:pPr>
      <w:r w:rsidRPr="00C317CE">
        <w:rPr>
          <w:sz w:val="21"/>
          <w:szCs w:val="21"/>
          <w:lang w:eastAsia="es-ES"/>
        </w:rPr>
        <w:t>-</w:t>
      </w:r>
      <w:r w:rsidRPr="00C317CE">
        <w:rPr>
          <w:sz w:val="21"/>
          <w:szCs w:val="21"/>
          <w:lang w:eastAsia="es-ES"/>
        </w:rPr>
        <w:tab/>
        <w:t>El acuerdo del Consejo del Protectorado de la ONCE de 29 de junio de 2005.</w:t>
      </w:r>
    </w:p>
    <w:p w:rsidR="00C317CE" w:rsidRPr="00C317CE" w:rsidRDefault="00C317CE" w:rsidP="00C317CE">
      <w:pPr>
        <w:pStyle w:val="Carta"/>
        <w:keepLines/>
        <w:rPr>
          <w:sz w:val="21"/>
          <w:szCs w:val="21"/>
          <w:lang w:eastAsia="es-ES"/>
        </w:rPr>
      </w:pPr>
      <w:r w:rsidRPr="00C317CE">
        <w:rPr>
          <w:sz w:val="21"/>
          <w:szCs w:val="21"/>
          <w:lang w:eastAsia="es-ES"/>
        </w:rPr>
        <w:t>Estos documentos se estructuran de la siguiente forma:</w:t>
      </w:r>
    </w:p>
    <w:p w:rsidR="00C317CE" w:rsidRPr="00C317CE" w:rsidRDefault="00C317CE" w:rsidP="00C317CE">
      <w:pPr>
        <w:pStyle w:val="ListUnoCarta"/>
        <w:keepLines/>
        <w:jc w:val="both"/>
        <w:rPr>
          <w:sz w:val="21"/>
          <w:szCs w:val="21"/>
          <w:lang w:eastAsia="es-ES"/>
        </w:rPr>
      </w:pPr>
      <w:r w:rsidRPr="00C317CE">
        <w:rPr>
          <w:sz w:val="21"/>
          <w:szCs w:val="21"/>
          <w:lang w:eastAsia="es-ES"/>
        </w:rPr>
        <w:t xml:space="preserve">a) </w:t>
      </w:r>
      <w:r w:rsidRPr="00C317CE">
        <w:rPr>
          <w:sz w:val="21"/>
          <w:szCs w:val="21"/>
          <w:lang w:eastAsia="es-ES"/>
        </w:rPr>
        <w:tab/>
        <w:t>En el Anexo I, aprobado por el Vicepresidente Primero Ejecutivo d</w:t>
      </w:r>
      <w:r w:rsidRPr="00C317CE">
        <w:rPr>
          <w:color w:val="3A4041"/>
          <w:sz w:val="21"/>
          <w:szCs w:val="21"/>
          <w:lang w:eastAsia="es-ES"/>
        </w:rPr>
        <w:t xml:space="preserve">e </w:t>
      </w:r>
      <w:r w:rsidRPr="00C317CE">
        <w:rPr>
          <w:sz w:val="21"/>
          <w:szCs w:val="21"/>
          <w:lang w:eastAsia="es-ES"/>
        </w:rPr>
        <w:t>la Fundación ONCE, se incluyen la asignación de recursos del ejercicio 2015 y el desglose de los recursos económicos aplicados al Plan 15.000 – 30.000.</w:t>
      </w:r>
    </w:p>
    <w:p w:rsidR="00C317CE" w:rsidRPr="00C317CE" w:rsidRDefault="00C317CE" w:rsidP="00C317CE">
      <w:pPr>
        <w:pStyle w:val="ListUnoCarta"/>
        <w:keepLines/>
        <w:jc w:val="both"/>
        <w:rPr>
          <w:sz w:val="21"/>
          <w:szCs w:val="21"/>
          <w:lang w:eastAsia="es-ES"/>
        </w:rPr>
      </w:pPr>
      <w:r w:rsidRPr="00C317CE">
        <w:rPr>
          <w:sz w:val="21"/>
          <w:szCs w:val="21"/>
          <w:lang w:eastAsia="es-ES"/>
        </w:rPr>
        <w:t xml:space="preserve">b) </w:t>
      </w:r>
      <w:r>
        <w:rPr>
          <w:sz w:val="21"/>
          <w:szCs w:val="21"/>
          <w:lang w:eastAsia="es-ES"/>
        </w:rPr>
        <w:tab/>
      </w:r>
      <w:r w:rsidRPr="00C317CE">
        <w:rPr>
          <w:sz w:val="21"/>
          <w:szCs w:val="21"/>
          <w:lang w:eastAsia="es-ES"/>
        </w:rPr>
        <w:t>En el Anexo II se incluyen las bases de presentación y los criterios empleados en la preparación del Anexo I.</w:t>
      </w:r>
    </w:p>
    <w:p w:rsidR="00C317CE" w:rsidRPr="00C317CE" w:rsidRDefault="00C317CE" w:rsidP="00C317CE">
      <w:pPr>
        <w:pStyle w:val="Carta"/>
        <w:keepLines/>
        <w:rPr>
          <w:sz w:val="21"/>
          <w:szCs w:val="21"/>
          <w:lang w:eastAsia="es-ES"/>
        </w:rPr>
      </w:pPr>
      <w:r w:rsidRPr="00C317CE">
        <w:rPr>
          <w:sz w:val="21"/>
          <w:szCs w:val="21"/>
          <w:lang w:eastAsia="es-ES"/>
        </w:rPr>
        <w:t>Conforme a lo anterior, los procedimientos aplicados han sido los siguientes:</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Verificación de la aplicación de los criterios y bases de presentación de la asignación de recursos, contenidos en el Anexo II</w:t>
      </w:r>
      <w:r w:rsidRPr="00C317CE">
        <w:rPr>
          <w:bCs/>
          <w:sz w:val="21"/>
          <w:szCs w:val="21"/>
          <w:lang w:eastAsia="es-ES"/>
        </w:rPr>
        <w:t xml:space="preserve">, </w:t>
      </w:r>
      <w:r w:rsidRPr="00C317CE">
        <w:rPr>
          <w:sz w:val="21"/>
          <w:szCs w:val="21"/>
          <w:lang w:eastAsia="es-ES"/>
        </w:rPr>
        <w:t>en la preparación del cálculo sobre la asignación de recursos del ejercicio 2015 de la Fundación ONCE contenido en el Anexo 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de la corrección de los cálculos aritméticos del Anexo 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para la totalidad de los expedientes aprobados por el órgano colegiado competente de la Fundación ONCE durante el ejercicio 2015, su correcta asignación al Plan de Empleo y Formación o al Plan de Accesibilidad teniendo en cuenta las principales características de cada expediente.</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Verificación de que la totalidad de los expedientes han sido tramitados y asignados por el Comité de asignación de proyectos.</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t>Comprobación de que, de acuerdo con la cláusula sexta del Acuerdo General</w:t>
      </w:r>
      <w:r w:rsidRPr="00C317CE">
        <w:rPr>
          <w:color w:val="717170"/>
          <w:sz w:val="21"/>
          <w:szCs w:val="21"/>
          <w:lang w:eastAsia="es-ES"/>
        </w:rPr>
        <w:t xml:space="preserve"> </w:t>
      </w:r>
      <w:r w:rsidRPr="00C317CE">
        <w:rPr>
          <w:sz w:val="21"/>
          <w:szCs w:val="21"/>
          <w:lang w:eastAsia="es-ES"/>
        </w:rPr>
        <w:t>entre el Gobierno de la Nación y la Organización Nacional de Ciegos Españoles (ONCE) en materia de cooperación, solidaridad y competitividad para la estabilidad de futuro de la ONCE para el período</w:t>
      </w:r>
      <w:r w:rsidRPr="00C317CE">
        <w:rPr>
          <w:color w:val="3C4243"/>
          <w:sz w:val="21"/>
          <w:szCs w:val="21"/>
          <w:lang w:eastAsia="es-ES"/>
        </w:rPr>
        <w:t xml:space="preserve"> </w:t>
      </w:r>
      <w:r w:rsidRPr="00C317CE">
        <w:rPr>
          <w:sz w:val="21"/>
          <w:szCs w:val="21"/>
          <w:lang w:eastAsia="es-ES"/>
        </w:rPr>
        <w:t>2012 – 2021, la cifra que figura en el Anexo I destinada al plan de empleo y formación, se corresponde con la totalidad de los expedientes examinados y clasificados bajo el plan de empleo y formación ajustados por determinados conceptos, según se explica en el Anexo II</w:t>
      </w:r>
      <w:r w:rsidRPr="00C317CE">
        <w:rPr>
          <w:bCs/>
          <w:sz w:val="21"/>
          <w:szCs w:val="21"/>
          <w:lang w:eastAsia="es-ES"/>
        </w:rPr>
        <w:t xml:space="preserve">, </w:t>
      </w:r>
      <w:r w:rsidRPr="00C317CE">
        <w:rPr>
          <w:sz w:val="21"/>
          <w:szCs w:val="21"/>
          <w:lang w:eastAsia="es-ES"/>
        </w:rPr>
        <w:t>y verificación de que la clasificación de los recursos aplicados a las diferentes líneas del plan 15.000-30.000 es adecuada conforme a las bases de presentación incluidas en el Anexo II.</w:t>
      </w:r>
    </w:p>
    <w:p w:rsidR="00C317CE" w:rsidRPr="00C317CE" w:rsidRDefault="00C317CE" w:rsidP="00C317CE">
      <w:pPr>
        <w:pStyle w:val="ListUnoCarta"/>
        <w:keepLines/>
        <w:numPr>
          <w:ilvl w:val="0"/>
          <w:numId w:val="1"/>
        </w:numPr>
        <w:jc w:val="both"/>
        <w:rPr>
          <w:sz w:val="21"/>
          <w:szCs w:val="21"/>
          <w:lang w:eastAsia="es-ES"/>
        </w:rPr>
      </w:pPr>
      <w:r w:rsidRPr="00C317CE">
        <w:rPr>
          <w:sz w:val="21"/>
          <w:szCs w:val="21"/>
          <w:lang w:eastAsia="es-ES"/>
        </w:rPr>
        <w:lastRenderedPageBreak/>
        <w:t xml:space="preserve">Comprobación, de acuerdo con la cláusula octava apartado segundo del Acuerdo General entre el Gobierno de la Nación y la Organización Nacional de Ciegos Españoles </w:t>
      </w:r>
      <w:r w:rsidRPr="00C317CE">
        <w:rPr>
          <w:color w:val="3C4243"/>
          <w:sz w:val="21"/>
          <w:szCs w:val="21"/>
          <w:lang w:eastAsia="es-ES"/>
        </w:rPr>
        <w:t xml:space="preserve">(ONCE) </w:t>
      </w:r>
      <w:r w:rsidRPr="00C317CE">
        <w:rPr>
          <w:sz w:val="21"/>
          <w:szCs w:val="21"/>
          <w:lang w:eastAsia="es-ES"/>
        </w:rPr>
        <w:t>en materia de cooperación, solidaridad y competitividad para la estabilidad de futuro de la ONCE para el período 2012 – 2021, que de acuerdo con el Anexo I, la Fundación ONCE ha destinado, al menos, un 60% de la cantidad aportada por la ONCE a los programas de empleo y formación y, destinado la cantidad restante a los programas de accesibilidad universal.</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Nuestro trabajo se ha realizado siguiendo normas profesionales de general aceptación en España aplicables a los encargos de procedimientos acordados. En un trabajo de procedimientos acordados es el destinatario del informe quien obtiene sus propias conclusiones a la luz de los hallazgos objetivos sobre los que se le informa. Asimismo el destinatario del informe es responsable de la suficiencia de los procedimientos llevados a cabo para los propósitos perseguidos. En consecuencia, no asumimos responsabilidad alguna sobre la suficiencia de los procedimientos aplicados.</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Como resultado de los procedimientos aplicados no se han puesto de manifiesto aspectos dignos de mención que supongan una modificación de las cifras contenidas en el Anexo I, relativas a las cláusulas 6ª y 8ª del Acuerdo General entre el Gobierno de la Nación y la Organización Nacional de Ciegos Españoles (ONCE) en materia de cooperación, solidaridad y competitividad para la estabilidad de futuro de la ONCE para el período 2012 – 2021, aprobado por el Consejo de Ministros 18 de noviembre de 2011.</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Dado que un trabajo de procedimientos acordados  no constituye una auditoría de cuentas ni una revisión limitada, no expresamos una opinión de auditoría ni proporcionamos ninguna seguridad sobre la citada información tomada en su conjunto. Si hubiésemos realizado una auditoría o si se hubiesen aplicado otros procedimientos se podrían haber puesto de manifiesto otros aspectos distintos a los incluidos en este informe.</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Este informe ha sido preparado con el propósito de justificar la asignación de recursos de la Fundación ONCE de acuerdo con lo establecido en las cláusulas sexta y octava del Acuerdo General entre el Gobierno de la Nación y la Organización Nacional de Ciegos Españoles (ONCE) en materia de cooperación, solidaridad y competitividad para la estabilidad de futuro de la ONCE para el período 2012 – 2021, y no puede ser usado para ningún otro fin o ser distribuido a terceros distintos del Consejo General de la ONCE y del Consejo de Protectorado de la ONCE, y sin que pueda utilizarse para ninguna otra finalidad sin el consentimiento expreso y escrito de Deloitte, S.L. No aceptaremos responsabilidad alguna frente a terceros distintos de los destinatarios del informe.</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DELOITTE, S.L.</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p>
    <w:p w:rsidR="00C317CE" w:rsidRPr="00C317CE" w:rsidRDefault="00C317CE" w:rsidP="00C317CE">
      <w:pPr>
        <w:keepLines/>
        <w:autoSpaceDE w:val="0"/>
        <w:autoSpaceDN w:val="0"/>
        <w:adjustRightInd w:val="0"/>
        <w:spacing w:line="240" w:lineRule="atLeast"/>
        <w:jc w:val="both"/>
        <w:rPr>
          <w:rFonts w:ascii="Times New Roman" w:hAnsi="Times New Roman"/>
          <w:sz w:val="21"/>
          <w:szCs w:val="21"/>
        </w:rPr>
      </w:pPr>
      <w:r w:rsidRPr="00C317CE">
        <w:rPr>
          <w:rFonts w:ascii="Times New Roman" w:hAnsi="Times New Roman"/>
          <w:sz w:val="21"/>
          <w:szCs w:val="21"/>
        </w:rPr>
        <w:t>Luis de la Mora</w:t>
      </w:r>
    </w:p>
    <w:p w:rsidR="00C317CE" w:rsidRPr="00C317CE" w:rsidRDefault="00C317CE" w:rsidP="00C317CE">
      <w:pPr>
        <w:keepLines/>
        <w:autoSpaceDE w:val="0"/>
        <w:autoSpaceDN w:val="0"/>
        <w:adjustRightInd w:val="0"/>
        <w:spacing w:after="240" w:line="240" w:lineRule="atLeast"/>
        <w:jc w:val="both"/>
        <w:rPr>
          <w:rFonts w:ascii="Times New Roman" w:hAnsi="Times New Roman"/>
          <w:sz w:val="21"/>
          <w:szCs w:val="21"/>
        </w:rPr>
      </w:pPr>
      <w:r w:rsidRPr="00C317CE">
        <w:rPr>
          <w:rFonts w:ascii="Times New Roman" w:hAnsi="Times New Roman"/>
          <w:sz w:val="21"/>
          <w:szCs w:val="21"/>
        </w:rPr>
        <w:t>12 de mayo de 2016</w:t>
      </w:r>
    </w:p>
    <w:p w:rsidR="00B606E9" w:rsidRDefault="00B606E9" w:rsidP="00C317CE">
      <w:pPr>
        <w:pStyle w:val="accionistas"/>
        <w:spacing w:after="240"/>
      </w:pPr>
    </w:p>
    <w:sectPr w:rsidR="00B606E9" w:rsidSect="00414852">
      <w:footerReference w:type="default" r:id="rId11"/>
      <w:pgSz w:w="11913" w:h="16834" w:code="9"/>
      <w:pgMar w:top="1701" w:right="1418" w:bottom="1134" w:left="1474"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7B" w:rsidRDefault="00646A7B">
      <w:r>
        <w:separator/>
      </w:r>
    </w:p>
  </w:endnote>
  <w:endnote w:type="continuationSeparator" w:id="0">
    <w:p w:rsidR="00646A7B" w:rsidRDefault="0064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Default="00A459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227F" w:rsidRDefault="000A11C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Pr="005E4AA8" w:rsidRDefault="00A45985">
    <w:pPr>
      <w:pStyle w:val="Piedepgina"/>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0A11C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7F" w:rsidRPr="00414852" w:rsidRDefault="00A45985">
    <w:pPr>
      <w:pStyle w:val="Piedepgina"/>
      <w:jc w:val="right"/>
      <w:rPr>
        <w:rFonts w:ascii="Times New Roman" w:hAnsi="Times New Roman"/>
        <w:sz w:val="21"/>
        <w:szCs w:val="21"/>
      </w:rPr>
    </w:pPr>
    <w:r w:rsidRPr="00414852">
      <w:rPr>
        <w:rStyle w:val="Nmerodepgina"/>
        <w:rFonts w:ascii="Times New Roman" w:hAnsi="Times New Roman"/>
        <w:sz w:val="21"/>
        <w:szCs w:val="21"/>
      </w:rPr>
      <w:fldChar w:fldCharType="begin"/>
    </w:r>
    <w:r w:rsidRPr="00414852">
      <w:rPr>
        <w:rStyle w:val="Nmerodepgina"/>
        <w:rFonts w:ascii="Times New Roman" w:hAnsi="Times New Roman"/>
        <w:sz w:val="21"/>
        <w:szCs w:val="21"/>
      </w:rPr>
      <w:instrText xml:space="preserve"> PAGE </w:instrText>
    </w:r>
    <w:r w:rsidRPr="00414852">
      <w:rPr>
        <w:rStyle w:val="Nmerodepgina"/>
        <w:rFonts w:ascii="Times New Roman" w:hAnsi="Times New Roman"/>
        <w:sz w:val="21"/>
        <w:szCs w:val="21"/>
      </w:rPr>
      <w:fldChar w:fldCharType="separate"/>
    </w:r>
    <w:r w:rsidR="000A11C8">
      <w:rPr>
        <w:rStyle w:val="Nmerodepgina"/>
        <w:rFonts w:ascii="Times New Roman" w:hAnsi="Times New Roman"/>
        <w:noProof/>
        <w:sz w:val="21"/>
        <w:szCs w:val="21"/>
      </w:rPr>
      <w:t>2</w:t>
    </w:r>
    <w:r w:rsidRPr="00414852">
      <w:rPr>
        <w:rStyle w:val="Nmerodepgina"/>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7B" w:rsidRDefault="00646A7B">
      <w:r>
        <w:separator/>
      </w:r>
    </w:p>
  </w:footnote>
  <w:footnote w:type="continuationSeparator" w:id="0">
    <w:p w:rsidR="00646A7B" w:rsidRDefault="00646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67192"/>
    <w:multiLevelType w:val="hybridMultilevel"/>
    <w:tmpl w:val="046AA8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2441F"/>
    <w:rsid w:val="000A11C8"/>
    <w:rsid w:val="000A3486"/>
    <w:rsid w:val="000E6F3B"/>
    <w:rsid w:val="00103273"/>
    <w:rsid w:val="001E2803"/>
    <w:rsid w:val="002008D7"/>
    <w:rsid w:val="002401F1"/>
    <w:rsid w:val="003934FF"/>
    <w:rsid w:val="00414852"/>
    <w:rsid w:val="00433B9B"/>
    <w:rsid w:val="00480EE1"/>
    <w:rsid w:val="00542EDF"/>
    <w:rsid w:val="00543346"/>
    <w:rsid w:val="00646A7B"/>
    <w:rsid w:val="006B6181"/>
    <w:rsid w:val="007C4660"/>
    <w:rsid w:val="00855C93"/>
    <w:rsid w:val="00877AB6"/>
    <w:rsid w:val="0088315E"/>
    <w:rsid w:val="00894E1D"/>
    <w:rsid w:val="008E4638"/>
    <w:rsid w:val="00904803"/>
    <w:rsid w:val="009A3540"/>
    <w:rsid w:val="00A17A3C"/>
    <w:rsid w:val="00A45985"/>
    <w:rsid w:val="00A61EB0"/>
    <w:rsid w:val="00AF209E"/>
    <w:rsid w:val="00B1138A"/>
    <w:rsid w:val="00B55756"/>
    <w:rsid w:val="00B606E9"/>
    <w:rsid w:val="00C317CE"/>
    <w:rsid w:val="00C31EE8"/>
    <w:rsid w:val="00C339DC"/>
    <w:rsid w:val="00C63177"/>
    <w:rsid w:val="00CA154F"/>
    <w:rsid w:val="00D01D0C"/>
    <w:rsid w:val="00D16C28"/>
    <w:rsid w:val="00D4207B"/>
    <w:rsid w:val="00D421CF"/>
    <w:rsid w:val="00D43197"/>
    <w:rsid w:val="00E675AC"/>
    <w:rsid w:val="00FE5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 w:type="paragraph" w:customStyle="1" w:styleId="Carta">
    <w:name w:val="Carta"/>
    <w:basedOn w:val="Normal"/>
    <w:rsid w:val="00C317CE"/>
    <w:pPr>
      <w:spacing w:after="240"/>
      <w:jc w:val="both"/>
    </w:pPr>
    <w:rPr>
      <w:rFonts w:ascii="Times New Roman" w:hAnsi="Times New Roman"/>
      <w:lang w:val="es-ES"/>
    </w:rPr>
  </w:style>
  <w:style w:type="paragraph" w:customStyle="1" w:styleId="ListUnoCarta">
    <w:name w:val="ListUnoCarta"/>
    <w:basedOn w:val="Carta"/>
    <w:rsid w:val="00C317CE"/>
    <w:pPr>
      <w:ind w:left="284" w:hanging="284"/>
      <w:jc w:val="left"/>
    </w:pPr>
    <w:rPr>
      <w:noProof/>
    </w:rPr>
  </w:style>
  <w:style w:type="paragraph" w:customStyle="1" w:styleId="CartaDos">
    <w:name w:val="CartaDos"/>
    <w:basedOn w:val="Normal"/>
    <w:rsid w:val="00C317CE"/>
    <w:rPr>
      <w:rFonts w:ascii="Times New Roman" w:hAnsi="Times New Roman"/>
      <w:noProof/>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 w:type="paragraph" w:customStyle="1" w:styleId="Carta">
    <w:name w:val="Carta"/>
    <w:basedOn w:val="Normal"/>
    <w:rsid w:val="00C317CE"/>
    <w:pPr>
      <w:spacing w:after="240"/>
      <w:jc w:val="both"/>
    </w:pPr>
    <w:rPr>
      <w:rFonts w:ascii="Times New Roman" w:hAnsi="Times New Roman"/>
      <w:lang w:val="es-ES"/>
    </w:rPr>
  </w:style>
  <w:style w:type="paragraph" w:customStyle="1" w:styleId="ListUnoCarta">
    <w:name w:val="ListUnoCarta"/>
    <w:basedOn w:val="Carta"/>
    <w:rsid w:val="00C317CE"/>
    <w:pPr>
      <w:ind w:left="284" w:hanging="284"/>
      <w:jc w:val="left"/>
    </w:pPr>
    <w:rPr>
      <w:noProof/>
    </w:rPr>
  </w:style>
  <w:style w:type="paragraph" w:customStyle="1" w:styleId="CartaDos">
    <w:name w:val="CartaDos"/>
    <w:basedOn w:val="Normal"/>
    <w:rsid w:val="00C317CE"/>
    <w:rPr>
      <w:rFonts w:ascii="Times New Roman" w:hAnsi="Times New Roman"/>
      <w:noProo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7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22103</EngagementID>
  <LogicalEMSServerID>8046625255170022453</LogicalEMSServerID>
  <WorkingPaperID>2012960125100000528</WorkingPaperID>
</DAEMSEngagementItemInfo>
</file>

<file path=customXml/itemProps1.xml><?xml version="1.0" encoding="utf-8"?>
<ds:datastoreItem xmlns:ds="http://schemas.openxmlformats.org/officeDocument/2006/customXml" ds:itemID="{208991BE-0AED-42D1-AD60-FBA51D05725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5024</Characters>
  <Application>Microsoft Office Word</Application>
  <DocSecurity>4</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ONCE</cp:lastModifiedBy>
  <cp:revision>2</cp:revision>
  <cp:lastPrinted>2016-05-25T10:58:00Z</cp:lastPrinted>
  <dcterms:created xsi:type="dcterms:W3CDTF">2016-08-29T11:01:00Z</dcterms:created>
  <dcterms:modified xsi:type="dcterms:W3CDTF">2016-08-29T11:01:00Z</dcterms:modified>
</cp:coreProperties>
</file>