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2134" w14:textId="77777777" w:rsidR="004C3D7D" w:rsidRPr="0042160A" w:rsidRDefault="009F0191" w:rsidP="00941F80">
      <w:pPr>
        <w:jc w:val="center"/>
        <w:rPr>
          <w:rFonts w:ascii="Arial" w:hAnsi="Arial" w:cs="Arial"/>
          <w:b/>
          <w:color w:val="2F5496"/>
          <w:sz w:val="24"/>
          <w:szCs w:val="24"/>
          <w:u w:val="single"/>
        </w:rPr>
      </w:pPr>
      <w:r w:rsidRPr="0042160A">
        <w:rPr>
          <w:rFonts w:ascii="Arial" w:hAnsi="Arial" w:cs="Arial"/>
          <w:b/>
          <w:color w:val="2F5496"/>
          <w:sz w:val="24"/>
          <w:szCs w:val="24"/>
          <w:u w:val="single"/>
        </w:rPr>
        <w:t>INFORME LEGISLATIVO</w:t>
      </w:r>
    </w:p>
    <w:p w14:paraId="7E33B608" w14:textId="77777777" w:rsidR="003E1ECA" w:rsidRDefault="003E1ECA" w:rsidP="003E1ECA">
      <w:pPr>
        <w:jc w:val="center"/>
        <w:rPr>
          <w:rFonts w:ascii="Arial" w:hAnsi="Arial" w:cs="Arial"/>
          <w:b/>
          <w:color w:val="2F5496"/>
          <w:sz w:val="24"/>
          <w:szCs w:val="24"/>
          <w:u w:val="single"/>
        </w:rPr>
      </w:pPr>
      <w:r>
        <w:rPr>
          <w:rFonts w:ascii="Arial" w:hAnsi="Arial" w:cs="Arial"/>
          <w:b/>
          <w:color w:val="2F5496"/>
          <w:sz w:val="24"/>
          <w:szCs w:val="24"/>
          <w:u w:val="single"/>
        </w:rPr>
        <w:t>PRIMER SEMESTRE</w:t>
      </w:r>
      <w:r w:rsidRPr="00322669">
        <w:rPr>
          <w:rFonts w:ascii="Arial" w:hAnsi="Arial" w:cs="Arial"/>
          <w:b/>
          <w:color w:val="2F5496"/>
          <w:sz w:val="24"/>
          <w:szCs w:val="24"/>
          <w:u w:val="single"/>
        </w:rPr>
        <w:t xml:space="preserve"> 202</w:t>
      </w:r>
      <w:r>
        <w:rPr>
          <w:rFonts w:ascii="Arial" w:hAnsi="Arial" w:cs="Arial"/>
          <w:b/>
          <w:color w:val="2F5496"/>
          <w:sz w:val="24"/>
          <w:szCs w:val="24"/>
          <w:u w:val="single"/>
        </w:rPr>
        <w:t>6</w:t>
      </w:r>
    </w:p>
    <w:p w14:paraId="20DB51B6" w14:textId="77777777" w:rsidR="00C42ED7" w:rsidRPr="0042160A" w:rsidRDefault="00C42ED7" w:rsidP="00433A3F">
      <w:pPr>
        <w:jc w:val="both"/>
        <w:rPr>
          <w:rFonts w:ascii="Arial" w:hAnsi="Arial" w:cs="Arial"/>
          <w:b/>
          <w:color w:val="2F5496"/>
          <w:sz w:val="24"/>
          <w:szCs w:val="24"/>
          <w:u w:val="single"/>
        </w:rPr>
      </w:pPr>
    </w:p>
    <w:p w14:paraId="18DA6FE3" w14:textId="77777777" w:rsidR="003E1ECA" w:rsidRDefault="003E1ECA" w:rsidP="003E1ECA">
      <w:pPr>
        <w:jc w:val="both"/>
        <w:rPr>
          <w:rFonts w:ascii="Arial" w:hAnsi="Arial" w:cs="Arial"/>
          <w:sz w:val="24"/>
          <w:szCs w:val="24"/>
          <w:lang w:val="es-ES_tradnl"/>
        </w:rPr>
      </w:pPr>
      <w:r>
        <w:rPr>
          <w:rFonts w:ascii="Arial" w:hAnsi="Arial" w:cs="Arial"/>
          <w:sz w:val="24"/>
          <w:szCs w:val="24"/>
          <w:lang w:val="es-ES_tradnl"/>
        </w:rPr>
        <w:t>A continuación,</w:t>
      </w:r>
      <w:r w:rsidRPr="0089016C">
        <w:rPr>
          <w:rFonts w:ascii="Arial" w:hAnsi="Arial" w:cs="Arial"/>
          <w:sz w:val="24"/>
          <w:szCs w:val="24"/>
          <w:lang w:val="es-ES_tradnl"/>
        </w:rPr>
        <w:t xml:space="preserve"> se presenta en primer lugar un resumen de la actividad legislativa </w:t>
      </w:r>
      <w:r>
        <w:rPr>
          <w:rFonts w:ascii="Arial" w:hAnsi="Arial" w:cs="Arial"/>
          <w:sz w:val="24"/>
          <w:szCs w:val="24"/>
          <w:lang w:val="es-ES_tradnl"/>
        </w:rPr>
        <w:t>nacional</w:t>
      </w:r>
      <w:r w:rsidRPr="0089016C">
        <w:rPr>
          <w:rFonts w:ascii="Arial" w:hAnsi="Arial" w:cs="Arial"/>
          <w:sz w:val="24"/>
          <w:szCs w:val="24"/>
          <w:lang w:val="es-ES_tradnl"/>
        </w:rPr>
        <w:t xml:space="preserve"> que</w:t>
      </w:r>
      <w:r>
        <w:rPr>
          <w:rFonts w:ascii="Arial" w:hAnsi="Arial" w:cs="Arial"/>
          <w:sz w:val="24"/>
          <w:szCs w:val="24"/>
          <w:lang w:val="es-ES_tradnl"/>
        </w:rPr>
        <w:t xml:space="preserve"> </w:t>
      </w:r>
      <w:r w:rsidRPr="0089016C">
        <w:rPr>
          <w:rFonts w:ascii="Arial" w:hAnsi="Arial" w:cs="Arial"/>
          <w:sz w:val="24"/>
          <w:szCs w:val="24"/>
          <w:lang w:val="es-ES_tradnl"/>
        </w:rPr>
        <w:t xml:space="preserve">ha tenido lugar </w:t>
      </w:r>
      <w:r>
        <w:rPr>
          <w:rFonts w:ascii="Arial" w:hAnsi="Arial" w:cs="Arial"/>
          <w:sz w:val="24"/>
          <w:szCs w:val="24"/>
          <w:lang w:val="es-ES_tradnl"/>
        </w:rPr>
        <w:t xml:space="preserve">en el </w:t>
      </w:r>
      <w:r>
        <w:rPr>
          <w:rFonts w:ascii="Arial" w:hAnsi="Arial" w:cs="Arial"/>
          <w:b/>
          <w:sz w:val="24"/>
          <w:szCs w:val="24"/>
          <w:u w:val="single"/>
          <w:lang w:val="es-ES_tradnl"/>
        </w:rPr>
        <w:t>primer semestre de 2026,</w:t>
      </w:r>
      <w:r w:rsidRPr="0089016C">
        <w:rPr>
          <w:rFonts w:ascii="Arial" w:hAnsi="Arial" w:cs="Arial"/>
          <w:sz w:val="24"/>
          <w:szCs w:val="24"/>
          <w:lang w:val="es-ES_tradnl"/>
        </w:rPr>
        <w:t xml:space="preserve"> centrado en aquella </w:t>
      </w:r>
      <w:r>
        <w:rPr>
          <w:rFonts w:ascii="Arial" w:hAnsi="Arial" w:cs="Arial"/>
          <w:sz w:val="24"/>
          <w:szCs w:val="24"/>
          <w:lang w:val="es-ES_tradnl"/>
        </w:rPr>
        <w:t>normativa</w:t>
      </w:r>
      <w:r w:rsidRPr="0089016C">
        <w:rPr>
          <w:rFonts w:ascii="Arial" w:hAnsi="Arial" w:cs="Arial"/>
          <w:sz w:val="24"/>
          <w:szCs w:val="24"/>
          <w:lang w:val="es-ES_tradnl"/>
        </w:rPr>
        <w:t xml:space="preserve"> </w:t>
      </w:r>
      <w:r>
        <w:rPr>
          <w:rFonts w:ascii="Arial" w:hAnsi="Arial" w:cs="Arial"/>
          <w:sz w:val="24"/>
          <w:szCs w:val="24"/>
          <w:lang w:val="es-ES_tradnl"/>
        </w:rPr>
        <w:t xml:space="preserve">que tiene incidencia en </w:t>
      </w:r>
      <w:r w:rsidRPr="0089016C">
        <w:rPr>
          <w:rFonts w:ascii="Arial" w:hAnsi="Arial" w:cs="Arial"/>
          <w:sz w:val="24"/>
          <w:szCs w:val="24"/>
          <w:lang w:val="es-ES_tradnl"/>
        </w:rPr>
        <w:t xml:space="preserve">el colectivo de la discapacidad. </w:t>
      </w:r>
    </w:p>
    <w:p w14:paraId="0F0316DC" w14:textId="77777777" w:rsidR="003E1ECA" w:rsidRDefault="003E1ECA" w:rsidP="003E1ECA">
      <w:pPr>
        <w:jc w:val="both"/>
        <w:rPr>
          <w:rFonts w:ascii="Arial" w:hAnsi="Arial" w:cs="Arial"/>
          <w:sz w:val="24"/>
          <w:szCs w:val="24"/>
          <w:lang w:val="es-ES_tradnl"/>
        </w:rPr>
      </w:pPr>
      <w:r w:rsidRPr="00BC525D">
        <w:rPr>
          <w:rFonts w:ascii="Arial" w:hAnsi="Arial" w:cs="Arial"/>
          <w:sz w:val="24"/>
          <w:szCs w:val="24"/>
          <w:lang w:val="es-ES_tradnl"/>
        </w:rPr>
        <w:t>En segunda instancia, se expondrán en este informe los principales avances normativos que se han producido en el ámbito de la Unión Europea relevantes para nuestro sector.</w:t>
      </w:r>
    </w:p>
    <w:p w14:paraId="04909CAA" w14:textId="77777777" w:rsidR="004C3D7D" w:rsidRPr="0042160A" w:rsidRDefault="004C3D7D" w:rsidP="00433A3F">
      <w:pPr>
        <w:spacing w:after="0" w:line="240" w:lineRule="auto"/>
        <w:jc w:val="both"/>
        <w:rPr>
          <w:rFonts w:ascii="Arial" w:eastAsia="Calibri" w:hAnsi="Arial" w:cs="Arial"/>
          <w:sz w:val="24"/>
          <w:szCs w:val="24"/>
        </w:rPr>
      </w:pPr>
    </w:p>
    <w:p w14:paraId="3AD6D5B6" w14:textId="77777777" w:rsidR="00BF2096" w:rsidRPr="0042160A" w:rsidRDefault="00BF2096" w:rsidP="00413FEC">
      <w:pPr>
        <w:shd w:val="clear" w:color="auto" w:fill="F6C5AC"/>
        <w:spacing w:after="0" w:line="240" w:lineRule="auto"/>
        <w:jc w:val="center"/>
        <w:rPr>
          <w:rFonts w:ascii="Arial" w:eastAsia="Calibri" w:hAnsi="Arial" w:cs="Arial"/>
          <w:b/>
          <w:sz w:val="24"/>
          <w:szCs w:val="24"/>
        </w:rPr>
      </w:pPr>
      <w:r w:rsidRPr="0042160A">
        <w:rPr>
          <w:rFonts w:ascii="Arial" w:eastAsia="Calibri" w:hAnsi="Arial" w:cs="Arial"/>
          <w:b/>
          <w:sz w:val="24"/>
          <w:szCs w:val="24"/>
        </w:rPr>
        <w:t>I. NORMATIVA ESTATAL</w:t>
      </w:r>
    </w:p>
    <w:p w14:paraId="5ED18A8C" w14:textId="77777777" w:rsidR="001E35B6" w:rsidRDefault="001E35B6" w:rsidP="00433A3F">
      <w:pPr>
        <w:jc w:val="both"/>
        <w:rPr>
          <w:rFonts w:ascii="Arial" w:hAnsi="Arial" w:cs="Arial"/>
          <w:color w:val="000000"/>
          <w:sz w:val="24"/>
          <w:szCs w:val="24"/>
        </w:rPr>
      </w:pPr>
    </w:p>
    <w:p w14:paraId="27BCF820" w14:textId="77777777" w:rsidR="00363910" w:rsidRPr="00363910" w:rsidRDefault="00363910" w:rsidP="00363910">
      <w:pPr>
        <w:jc w:val="both"/>
        <w:rPr>
          <w:rFonts w:ascii="Arial" w:hAnsi="Arial" w:cs="Arial"/>
          <w:sz w:val="24"/>
          <w:szCs w:val="24"/>
        </w:rPr>
      </w:pPr>
      <w:r w:rsidRPr="00363910">
        <w:rPr>
          <w:rFonts w:ascii="Arial" w:hAnsi="Arial" w:cs="Arial"/>
          <w:sz w:val="24"/>
          <w:szCs w:val="24"/>
        </w:rPr>
        <w:t xml:space="preserve">El primer semestre de 2026 ha venido marcado por una intensa actividad normativa y de planificación estratégica en ámbitos de especial relevancia para las personas con discapacidad y otros colectivos en situación de vulnerabilidad. En este contexto, el Consejo de Ministros aprobó el </w:t>
      </w:r>
      <w:r w:rsidRPr="00363910">
        <w:rPr>
          <w:rFonts w:ascii="Arial" w:hAnsi="Arial" w:cs="Arial"/>
          <w:b/>
          <w:bCs/>
          <w:sz w:val="24"/>
          <w:szCs w:val="24"/>
        </w:rPr>
        <w:t>Plan Anual Normativo de la Administración General del Estado para 2026</w:t>
      </w:r>
      <w:r w:rsidRPr="00363910">
        <w:rPr>
          <w:rFonts w:ascii="Arial" w:hAnsi="Arial" w:cs="Arial"/>
          <w:sz w:val="24"/>
          <w:szCs w:val="24"/>
        </w:rPr>
        <w:t>, que prevé 179 iniciativas legislativas y reglamentarias, entre las que destacan actuaciones de especial interés para nuestro sector, como el futuro reglamento estatal de accesibilidad cognitiva, la regulación del etiquetado accesible, la implantación de la tarjeta europea de discapacidad y estacionamiento, la normativa sobre acceso al empleo público de las personas con discapacidad, así como futuras leyes en materia de juventud e infancia.</w:t>
      </w:r>
    </w:p>
    <w:p w14:paraId="1787A03F" w14:textId="77777777" w:rsidR="00363910" w:rsidRDefault="00363910" w:rsidP="00363910">
      <w:pPr>
        <w:jc w:val="both"/>
        <w:rPr>
          <w:rFonts w:ascii="Arial" w:hAnsi="Arial" w:cs="Arial"/>
          <w:sz w:val="24"/>
          <w:szCs w:val="24"/>
        </w:rPr>
      </w:pPr>
      <w:r>
        <w:rPr>
          <w:rFonts w:ascii="Arial" w:hAnsi="Arial" w:cs="Arial"/>
          <w:sz w:val="24"/>
          <w:szCs w:val="24"/>
        </w:rPr>
        <w:t>D</w:t>
      </w:r>
      <w:r w:rsidRPr="00363910">
        <w:rPr>
          <w:rFonts w:ascii="Arial" w:hAnsi="Arial" w:cs="Arial"/>
          <w:sz w:val="24"/>
          <w:szCs w:val="24"/>
        </w:rPr>
        <w:t>urante este periodo se aprobó la Declaración Institucional con motivo del</w:t>
      </w:r>
      <w:r w:rsidRPr="00363910">
        <w:rPr>
          <w:rFonts w:ascii="Arial" w:hAnsi="Arial" w:cs="Arial"/>
          <w:b/>
          <w:bCs/>
          <w:sz w:val="24"/>
          <w:szCs w:val="24"/>
        </w:rPr>
        <w:t xml:space="preserve"> vigésimo aniversario de la Convención Internacional sobre los Derechos de las Personas con Discapacidad</w:t>
      </w:r>
      <w:r w:rsidRPr="00363910">
        <w:rPr>
          <w:rFonts w:ascii="Arial" w:hAnsi="Arial" w:cs="Arial"/>
          <w:sz w:val="24"/>
          <w:szCs w:val="24"/>
        </w:rPr>
        <w:t>, mediante la cual España reafirma su compromiso con los principios y derechos recogidos en este tratado internacional y pone en valor los avances alcanzados en los últimos años en ámbitos como la accesibilidad, la educación, el empleo, la protección social y la reforma del artículo 49 de la Constitución.</w:t>
      </w:r>
    </w:p>
    <w:p w14:paraId="491B4257" w14:textId="77777777" w:rsidR="00F428DC" w:rsidRPr="00363910" w:rsidRDefault="00F428DC" w:rsidP="00363910">
      <w:pPr>
        <w:jc w:val="both"/>
        <w:rPr>
          <w:rFonts w:ascii="Arial" w:hAnsi="Arial" w:cs="Arial"/>
          <w:sz w:val="24"/>
          <w:szCs w:val="24"/>
        </w:rPr>
      </w:pPr>
      <w:r w:rsidRPr="00F428DC">
        <w:rPr>
          <w:rFonts w:ascii="Arial" w:hAnsi="Arial" w:cs="Arial"/>
          <w:sz w:val="24"/>
          <w:szCs w:val="24"/>
        </w:rPr>
        <w:t>En esta misma línea, el Gobierno presentó el informe de seguimiento de las actuaciones emprendidas para el despliegue del artículo 49 de la Constitución, que recoge los principales avances impulsados desde su reforma, entre ellos la aprobación de la Ley ELA, el refuerzo de la financiación del sistema de dependencia, la Estrategia Estatal de Cuidados, medidas de mejora del empleo y la educación inclusiva, actuaciones de protección en situaciones de emergencia y la tramitación de la reforma de las leyes de discapacidad y dependencia.</w:t>
      </w:r>
    </w:p>
    <w:p w14:paraId="35CCD8F3" w14:textId="77777777" w:rsidR="00363910" w:rsidRPr="009A5405" w:rsidRDefault="00363910" w:rsidP="00363910">
      <w:pPr>
        <w:jc w:val="both"/>
        <w:rPr>
          <w:rFonts w:ascii="Arial" w:hAnsi="Arial" w:cs="Arial"/>
          <w:sz w:val="24"/>
          <w:szCs w:val="24"/>
        </w:rPr>
      </w:pPr>
      <w:r w:rsidRPr="00363910">
        <w:rPr>
          <w:rFonts w:ascii="Arial" w:hAnsi="Arial" w:cs="Arial"/>
          <w:sz w:val="24"/>
          <w:szCs w:val="24"/>
        </w:rPr>
        <w:lastRenderedPageBreak/>
        <w:t>Por otra parte, ca</w:t>
      </w:r>
      <w:r>
        <w:rPr>
          <w:rFonts w:ascii="Arial" w:hAnsi="Arial" w:cs="Arial"/>
          <w:sz w:val="24"/>
          <w:szCs w:val="24"/>
        </w:rPr>
        <w:t xml:space="preserve">be </w:t>
      </w:r>
      <w:r w:rsidRPr="00363910">
        <w:rPr>
          <w:rFonts w:ascii="Arial" w:hAnsi="Arial" w:cs="Arial"/>
          <w:sz w:val="24"/>
          <w:szCs w:val="24"/>
        </w:rPr>
        <w:t xml:space="preserve">destacar la aprobación del </w:t>
      </w:r>
      <w:r w:rsidRPr="00363910">
        <w:rPr>
          <w:rFonts w:ascii="Arial" w:hAnsi="Arial" w:cs="Arial"/>
          <w:b/>
          <w:bCs/>
          <w:sz w:val="24"/>
          <w:szCs w:val="24"/>
        </w:rPr>
        <w:t>primer Marco Estratégico Estatal de Soledades 2026-2030</w:t>
      </w:r>
      <w:r w:rsidRPr="00363910">
        <w:rPr>
          <w:rFonts w:ascii="Arial" w:hAnsi="Arial" w:cs="Arial"/>
          <w:sz w:val="24"/>
          <w:szCs w:val="24"/>
        </w:rPr>
        <w:t>, que sitúa la prevención de la soledad y el fortalecimiento de la cohesión social como elementos centrales de las políticas públicas, impulsando enfoques transversales orientados a promover el bienestar, la participación social y la inclusión a lo largo de todas las etapas de la vida.</w:t>
      </w:r>
    </w:p>
    <w:p w14:paraId="0EABB7D9" w14:textId="77777777" w:rsidR="009A5405" w:rsidRPr="0042160A" w:rsidRDefault="009A5405" w:rsidP="00433A3F">
      <w:pPr>
        <w:jc w:val="both"/>
        <w:rPr>
          <w:rFonts w:ascii="Arial" w:hAnsi="Arial" w:cs="Arial"/>
          <w:color w:val="000000"/>
          <w:sz w:val="24"/>
          <w:szCs w:val="24"/>
        </w:rPr>
      </w:pPr>
    </w:p>
    <w:p w14:paraId="6CB8C3F0" w14:textId="77777777" w:rsidR="00363910" w:rsidRPr="00363910" w:rsidRDefault="00B00D49" w:rsidP="00363910">
      <w:pPr>
        <w:numPr>
          <w:ilvl w:val="0"/>
          <w:numId w:val="1"/>
        </w:numPr>
        <w:shd w:val="clear" w:color="auto" w:fill="A5C9EB"/>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 xml:space="preserve">ASUNTOS SOCIALES </w:t>
      </w:r>
    </w:p>
    <w:p w14:paraId="0741D2AA" w14:textId="77777777" w:rsidR="00323B84" w:rsidRPr="0042160A" w:rsidRDefault="00323B84" w:rsidP="00433A3F">
      <w:pPr>
        <w:ind w:firstLine="360"/>
        <w:jc w:val="both"/>
        <w:rPr>
          <w:rFonts w:ascii="Arial" w:hAnsi="Arial" w:cs="Arial"/>
          <w:sz w:val="24"/>
          <w:szCs w:val="24"/>
          <w:lang w:val="es-ES_tradnl"/>
        </w:rPr>
      </w:pPr>
      <w:r w:rsidRPr="0042160A">
        <w:rPr>
          <w:rFonts w:ascii="Arial" w:hAnsi="Arial" w:cs="Arial"/>
          <w:sz w:val="24"/>
          <w:szCs w:val="24"/>
          <w:lang w:val="es-ES_tradnl"/>
        </w:rPr>
        <w:t xml:space="preserve">Por lo que se refiere a la </w:t>
      </w:r>
      <w:r w:rsidRPr="0042160A">
        <w:rPr>
          <w:rFonts w:ascii="Arial" w:hAnsi="Arial" w:cs="Arial"/>
          <w:sz w:val="24"/>
          <w:szCs w:val="24"/>
          <w:u w:val="single"/>
          <w:lang w:val="es-ES_tradnl"/>
        </w:rPr>
        <w:t>normativa estatal</w:t>
      </w:r>
      <w:r w:rsidRPr="0042160A">
        <w:rPr>
          <w:rFonts w:ascii="Arial" w:hAnsi="Arial" w:cs="Arial"/>
          <w:sz w:val="24"/>
          <w:szCs w:val="24"/>
          <w:lang w:val="es-ES_tradnl"/>
        </w:rPr>
        <w:t xml:space="preserve"> más relevante de este periodo en materia de asuntos sociales cabe citar:</w:t>
      </w:r>
    </w:p>
    <w:p w14:paraId="033B7CA2" w14:textId="77777777" w:rsidR="005208A5" w:rsidRPr="005208A5" w:rsidRDefault="005208A5" w:rsidP="00F93534">
      <w:pPr>
        <w:numPr>
          <w:ilvl w:val="1"/>
          <w:numId w:val="19"/>
        </w:numPr>
        <w:jc w:val="both"/>
        <w:rPr>
          <w:rFonts w:ascii="Arial" w:hAnsi="Arial" w:cs="Arial"/>
          <w:b/>
          <w:bCs/>
          <w:sz w:val="24"/>
          <w:szCs w:val="24"/>
          <w:lang w:val="es-ES_tradnl"/>
        </w:rPr>
      </w:pPr>
      <w:r w:rsidRPr="005208A5">
        <w:rPr>
          <w:rFonts w:ascii="Arial" w:hAnsi="Arial" w:cs="Arial"/>
          <w:b/>
          <w:bCs/>
          <w:sz w:val="24"/>
          <w:szCs w:val="24"/>
          <w:lang w:val="es-ES_tradnl"/>
        </w:rPr>
        <w:t>Real Decreto-ley 18/2026, de 29 de junio, por el que se adoptan determinadas medidas en el marco del Plan Integral de Respuesta a la Crisis en Oriente Medio.</w:t>
      </w:r>
    </w:p>
    <w:p w14:paraId="1C290129" w14:textId="77777777" w:rsidR="0042160A" w:rsidRPr="00265C7C" w:rsidRDefault="0042160A" w:rsidP="00433A3F">
      <w:pPr>
        <w:numPr>
          <w:ilvl w:val="1"/>
          <w:numId w:val="19"/>
        </w:numPr>
        <w:jc w:val="both"/>
        <w:rPr>
          <w:rFonts w:ascii="Arial" w:hAnsi="Arial" w:cs="Arial"/>
          <w:b/>
          <w:bCs/>
          <w:sz w:val="24"/>
          <w:szCs w:val="24"/>
          <w:lang w:val="es-ES_tradnl"/>
        </w:rPr>
      </w:pPr>
      <w:r w:rsidRPr="0042160A">
        <w:rPr>
          <w:rFonts w:ascii="Arial" w:hAnsi="Arial" w:cs="Arial"/>
          <w:b/>
          <w:bCs/>
          <w:sz w:val="24"/>
          <w:szCs w:val="24"/>
          <w:lang w:val="es-ES_tradnl"/>
        </w:rPr>
        <w:t>Real Decreto-ley 14/2026, de 9 de junio, de medidas de promoción del uso del transporte público colectivo por parte de la juventud para los viajes realizados en el periodo estival de 2026.</w:t>
      </w:r>
      <w:r w:rsidR="00265C7C">
        <w:rPr>
          <w:rFonts w:ascii="Arial" w:hAnsi="Arial" w:cs="Arial"/>
          <w:b/>
          <w:bCs/>
          <w:sz w:val="24"/>
          <w:szCs w:val="24"/>
          <w:lang w:val="es-ES_tradnl"/>
        </w:rPr>
        <w:t xml:space="preserve"> </w:t>
      </w:r>
      <w:r w:rsidRPr="00265C7C">
        <w:rPr>
          <w:rFonts w:ascii="Arial" w:hAnsi="Arial" w:cs="Arial"/>
          <w:sz w:val="24"/>
          <w:szCs w:val="24"/>
          <w:lang w:val="es-ES_tradnl"/>
        </w:rPr>
        <w:t>Descuentos y ayudas al transporte público para jóvenes durante el verano de 2026, favoreciendo una movilidad más accesible y asequible.</w:t>
      </w:r>
    </w:p>
    <w:p w14:paraId="6C1E3F1C" w14:textId="77777777" w:rsidR="00323B84" w:rsidRPr="0042160A" w:rsidRDefault="00323B84" w:rsidP="00433A3F">
      <w:pPr>
        <w:numPr>
          <w:ilvl w:val="1"/>
          <w:numId w:val="19"/>
        </w:numPr>
        <w:jc w:val="both"/>
        <w:rPr>
          <w:rFonts w:ascii="Arial" w:hAnsi="Arial" w:cs="Arial"/>
          <w:sz w:val="24"/>
          <w:szCs w:val="24"/>
          <w:lang w:val="es-ES_tradnl"/>
        </w:rPr>
      </w:pPr>
      <w:r w:rsidRPr="009D2DA6">
        <w:rPr>
          <w:rFonts w:ascii="Arial" w:hAnsi="Arial" w:cs="Arial"/>
          <w:b/>
          <w:bCs/>
          <w:color w:val="000000"/>
          <w:sz w:val="24"/>
          <w:szCs w:val="24"/>
        </w:rPr>
        <w:t>Real Decreto-ley 7/2026, de 20 de marzo, por el que se aprueba el Plan Integral de Respuesta a la Crisis en Oriente Medio.</w:t>
      </w:r>
      <w:r w:rsidRPr="0042160A">
        <w:rPr>
          <w:rFonts w:ascii="Arial" w:hAnsi="Arial" w:cs="Arial"/>
          <w:b/>
          <w:bCs/>
          <w:color w:val="0C64C0"/>
          <w:sz w:val="24"/>
          <w:szCs w:val="24"/>
        </w:rPr>
        <w:t xml:space="preserve"> </w:t>
      </w:r>
      <w:r w:rsidRPr="0042160A">
        <w:rPr>
          <w:rFonts w:ascii="Arial" w:hAnsi="Arial" w:cs="Arial"/>
          <w:color w:val="000000"/>
          <w:sz w:val="24"/>
          <w:szCs w:val="24"/>
        </w:rPr>
        <w:t>Se establece un paquete de medidas con especial énfasis en proteger a los hogares en situación de vulnerabilidad</w:t>
      </w:r>
      <w:r w:rsidRPr="0042160A">
        <w:rPr>
          <w:rFonts w:ascii="Arial" w:hAnsi="Arial" w:cs="Arial"/>
          <w:color w:val="242424"/>
          <w:sz w:val="24"/>
          <w:szCs w:val="24"/>
        </w:rPr>
        <w:t>.</w:t>
      </w:r>
    </w:p>
    <w:p w14:paraId="5F68155F" w14:textId="6E45876D"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color w:val="000000"/>
          <w:sz w:val="24"/>
          <w:szCs w:val="24"/>
        </w:rPr>
        <w:t xml:space="preserve">Real Decreto-ley 6/2026, de 3 de marzo, por el que se modifica la Ley 20/2022, de 19 de octubre, de Memoria Democrática, </w:t>
      </w:r>
      <w:r w:rsidR="00F93534" w:rsidRPr="0042160A">
        <w:rPr>
          <w:rFonts w:ascii="Arial" w:hAnsi="Arial" w:cs="Arial"/>
          <w:b/>
          <w:bCs/>
          <w:color w:val="000000"/>
          <w:sz w:val="24"/>
          <w:szCs w:val="24"/>
        </w:rPr>
        <w:t>sobre reconocimiento</w:t>
      </w:r>
      <w:r w:rsidRPr="0042160A">
        <w:rPr>
          <w:rFonts w:ascii="Arial" w:hAnsi="Arial" w:cs="Arial"/>
          <w:b/>
          <w:bCs/>
          <w:color w:val="000000"/>
          <w:sz w:val="24"/>
          <w:szCs w:val="24"/>
        </w:rPr>
        <w:t xml:space="preserve"> a favor de personas fallecidas o con lesiones incapacitantes por su actividad en defensa y reivindicación de la Democracia.</w:t>
      </w:r>
    </w:p>
    <w:p w14:paraId="3708D59F"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Real Decreto-ley 1/2026, de 27 de enero, de ayudas a las víctimas de los accidentes ferroviarios de Adamuz (Córdoba) y Gélida (Barcelona).</w:t>
      </w:r>
    </w:p>
    <w:p w14:paraId="68F8151E"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 xml:space="preserve">Decreto-ley 4/2026, de 28 de abril, de medidas urgentes en el ámbito de la dependencia. </w:t>
      </w:r>
      <w:r w:rsidRPr="0042160A">
        <w:rPr>
          <w:rFonts w:ascii="Arial" w:hAnsi="Arial" w:cs="Arial"/>
          <w:sz w:val="24"/>
          <w:szCs w:val="24"/>
        </w:rPr>
        <w:t>Se adoptan medidas urgentes para agilizar la atención a las personas en situación de dependencia, mejorando el acceso a prestaciones y servicios del sistema de apoyo y cuidados.</w:t>
      </w:r>
    </w:p>
    <w:p w14:paraId="104F105E" w14:textId="77777777" w:rsidR="00323B84" w:rsidRPr="00D862A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Decreto-ley 3/2026, de 6 de abril, por el que se adoptan medidas como consecuencia de la crisis en Oriente Medio</w:t>
      </w:r>
      <w:r w:rsidRPr="0042160A">
        <w:rPr>
          <w:rFonts w:ascii="Arial" w:hAnsi="Arial" w:cs="Arial"/>
          <w:sz w:val="24"/>
          <w:szCs w:val="24"/>
        </w:rPr>
        <w:t>.</w:t>
      </w:r>
    </w:p>
    <w:p w14:paraId="4433B247" w14:textId="77777777" w:rsidR="00D862AA" w:rsidRPr="00D862AA" w:rsidRDefault="00D862AA" w:rsidP="00D862AA">
      <w:pPr>
        <w:numPr>
          <w:ilvl w:val="1"/>
          <w:numId w:val="19"/>
        </w:numPr>
        <w:jc w:val="both"/>
        <w:rPr>
          <w:rFonts w:ascii="Arial" w:hAnsi="Arial" w:cs="Arial"/>
          <w:sz w:val="24"/>
          <w:szCs w:val="24"/>
          <w:lang w:val="es-ES_tradnl"/>
        </w:rPr>
      </w:pPr>
      <w:r w:rsidRPr="00D862AA">
        <w:rPr>
          <w:rFonts w:ascii="Arial" w:hAnsi="Arial" w:cs="Arial"/>
          <w:b/>
          <w:bCs/>
          <w:sz w:val="24"/>
          <w:szCs w:val="24"/>
          <w:lang w:val="es-ES_tradnl"/>
        </w:rPr>
        <w:t xml:space="preserve">Real Decreto-ley 17/2026, de 23 de junio, de medidas extraordinarias para el fortalecimiento y consolidación del Sistema para la Autonomía y </w:t>
      </w:r>
      <w:r w:rsidRPr="00D862AA">
        <w:rPr>
          <w:rFonts w:ascii="Arial" w:hAnsi="Arial" w:cs="Arial"/>
          <w:b/>
          <w:bCs/>
          <w:sz w:val="24"/>
          <w:szCs w:val="24"/>
          <w:lang w:val="es-ES_tradnl"/>
        </w:rPr>
        <w:lastRenderedPageBreak/>
        <w:t>Atención a la Dependencia</w:t>
      </w:r>
      <w:r w:rsidRPr="00D862AA">
        <w:rPr>
          <w:rFonts w:ascii="Arial" w:hAnsi="Arial" w:cs="Arial"/>
          <w:sz w:val="24"/>
          <w:szCs w:val="24"/>
          <w:lang w:val="es-ES_tradnl"/>
        </w:rPr>
        <w:t>. Incrementa la financiación del Sistema para la Autonomía y Atención a la Dependencia y mejora las prestaciones económicas destinadas a las personas en situación de dependencia, reforzando su atención y autonomía.</w:t>
      </w:r>
    </w:p>
    <w:p w14:paraId="0E4B1641"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 xml:space="preserve">Real Decreto 401/2026, de 20 de mayo, por el que se establecen las normas reguladoras del Bono Cultural Joven. </w:t>
      </w:r>
    </w:p>
    <w:p w14:paraId="71A16186"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 xml:space="preserve">Real Decreto 371/2026, de 6 de mayo, por el que se crea y regula el Foro de Gobierno Abierto. </w:t>
      </w:r>
      <w:r w:rsidRPr="0042160A">
        <w:rPr>
          <w:rFonts w:ascii="Arial" w:hAnsi="Arial" w:cs="Arial"/>
          <w:sz w:val="24"/>
          <w:szCs w:val="24"/>
        </w:rPr>
        <w:t>Refuerza la estructura y el diálogo entre administraciones y sociedad civil</w:t>
      </w:r>
      <w:r w:rsidRPr="0042160A">
        <w:rPr>
          <w:rFonts w:ascii="Arial" w:hAnsi="Arial" w:cs="Arial"/>
          <w:b/>
          <w:bCs/>
          <w:sz w:val="24"/>
          <w:szCs w:val="24"/>
        </w:rPr>
        <w:t>.</w:t>
      </w:r>
    </w:p>
    <w:p w14:paraId="57274E6F" w14:textId="77777777" w:rsidR="00323B84" w:rsidRPr="0042160A" w:rsidRDefault="00323B84" w:rsidP="00433A3F">
      <w:pPr>
        <w:numPr>
          <w:ilvl w:val="1"/>
          <w:numId w:val="19"/>
        </w:numPr>
        <w:jc w:val="both"/>
        <w:rPr>
          <w:rFonts w:ascii="Arial" w:hAnsi="Arial" w:cs="Arial"/>
          <w:sz w:val="24"/>
          <w:szCs w:val="24"/>
          <w:lang w:val="es-ES_tradnl"/>
        </w:rPr>
      </w:pPr>
      <w:r w:rsidRPr="00E46F90">
        <w:rPr>
          <w:rFonts w:ascii="Arial" w:hAnsi="Arial" w:cs="Arial"/>
          <w:b/>
          <w:bCs/>
          <w:sz w:val="24"/>
          <w:szCs w:val="24"/>
        </w:rPr>
        <w:t xml:space="preserve">Real Decreto 326/2026, de 22 de abril, por el que se regula el Plan Estatal de Vivienda 2026-2030. </w:t>
      </w:r>
      <w:r w:rsidRPr="00E46F90">
        <w:rPr>
          <w:rFonts w:ascii="Arial" w:hAnsi="Arial" w:cs="Arial"/>
          <w:sz w:val="24"/>
          <w:szCs w:val="24"/>
        </w:rPr>
        <w:t>Incluye medidas concretas de vivienda accesible y apoyo a colectivos vulnerables, con especial impacto en personas con discapacidad, dependencia o dificultades económicas, favoreciendo su autonomía y acceso a una vivienda adecuada.</w:t>
      </w:r>
    </w:p>
    <w:p w14:paraId="19F8E2CD" w14:textId="77777777" w:rsidR="00323B84" w:rsidRPr="0042160A" w:rsidRDefault="00323B84" w:rsidP="00433A3F">
      <w:pPr>
        <w:numPr>
          <w:ilvl w:val="1"/>
          <w:numId w:val="19"/>
        </w:numPr>
        <w:jc w:val="both"/>
        <w:rPr>
          <w:rFonts w:ascii="Arial" w:hAnsi="Arial" w:cs="Arial"/>
          <w:sz w:val="24"/>
          <w:szCs w:val="24"/>
          <w:lang w:val="es-ES_tradnl"/>
        </w:rPr>
      </w:pPr>
      <w:r w:rsidRPr="00E46F90">
        <w:rPr>
          <w:rFonts w:ascii="Arial" w:hAnsi="Arial" w:cs="Arial"/>
          <w:b/>
          <w:bCs/>
          <w:sz w:val="24"/>
          <w:szCs w:val="24"/>
        </w:rPr>
        <w:t>Real Decreto 316/2026, de 14 de abril, por el que se modifica el Real Decreto 1155/2024, de 19 de noviembre, por el que se aprueba el Reglamento de la Ley Orgánica 4/2000, de 11 de enero, sobre derechos y libertades de los extranjeros en España y su integración social.</w:t>
      </w:r>
    </w:p>
    <w:p w14:paraId="7C218A37" w14:textId="77777777" w:rsidR="00323B84" w:rsidRPr="0042160A" w:rsidRDefault="00323B84" w:rsidP="00433A3F">
      <w:pPr>
        <w:numPr>
          <w:ilvl w:val="1"/>
          <w:numId w:val="19"/>
        </w:numPr>
        <w:jc w:val="both"/>
        <w:rPr>
          <w:rFonts w:ascii="Arial" w:hAnsi="Arial" w:cs="Arial"/>
          <w:sz w:val="24"/>
          <w:szCs w:val="24"/>
          <w:lang w:val="es-ES_tradnl"/>
        </w:rPr>
      </w:pPr>
      <w:r w:rsidRPr="00E46F90">
        <w:rPr>
          <w:rFonts w:ascii="Arial" w:hAnsi="Arial" w:cs="Arial"/>
          <w:b/>
          <w:bCs/>
          <w:sz w:val="24"/>
          <w:szCs w:val="24"/>
        </w:rPr>
        <w:t xml:space="preserve">Real Decreto 262/2026, de 1 de abril, por el que se establecen los Diplomas de Lengua de Signos Española (DLSE) y se modifican varias normas reglamentarias. </w:t>
      </w:r>
      <w:r w:rsidRPr="00E46F90">
        <w:rPr>
          <w:rFonts w:ascii="Arial" w:hAnsi="Arial" w:cs="Arial"/>
          <w:sz w:val="24"/>
          <w:szCs w:val="24"/>
        </w:rPr>
        <w:t>Regula los Diplomas de Lengua de Signos Española (DLSE) como acreditación oficial de competencia lingüística y actualiza normas previas para armonizar su reconocimiento.</w:t>
      </w:r>
    </w:p>
    <w:p w14:paraId="2DC06594"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color w:val="000000"/>
          <w:sz w:val="24"/>
          <w:szCs w:val="24"/>
        </w:rPr>
        <w:t>Real Decreto 216/2026, de 18 de marzo, por el que se crea y regula la Comisión Interministerial para la transformación y sostenibilidad de los cuidados de larga duración.</w:t>
      </w:r>
      <w:r w:rsidRPr="0042160A">
        <w:rPr>
          <w:rFonts w:ascii="Arial" w:hAnsi="Arial" w:cs="Arial"/>
          <w:color w:val="000000"/>
          <w:sz w:val="24"/>
          <w:szCs w:val="24"/>
        </w:rPr>
        <w:t>Instrumento de gobernanza de la Estrategia Estatal para desarrollar el nuevo modelo de cuidados basado en la desinstitucionalización (2024-2030).</w:t>
      </w:r>
    </w:p>
    <w:p w14:paraId="4905B382"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color w:val="000000"/>
          <w:sz w:val="24"/>
          <w:szCs w:val="24"/>
        </w:rPr>
        <w:t>Real Decreto 180/2026, de 11 de marzo, por el que se regula el reconocimiento del derecho a la protección de la salud y a la atención sanitaria con cargo a fondos públicos de las personas extranjeras que encontrándose en España no tengan su residencia legal en el territorio español.</w:t>
      </w:r>
    </w:p>
    <w:p w14:paraId="7AC46CC5"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color w:val="000000"/>
          <w:sz w:val="24"/>
          <w:szCs w:val="24"/>
        </w:rPr>
        <w:t xml:space="preserve">Real Decreto 125/2026, de 18 de febrero, por el que se modifica el Reglamento de fundaciones de competencia estatal, aprobado por el Real Decreto 1337/2005, de 11 de noviembre, en relación con el Consejo Superior de Fundaciones. </w:t>
      </w:r>
      <w:r w:rsidRPr="0042160A">
        <w:rPr>
          <w:rFonts w:ascii="Arial" w:hAnsi="Arial" w:cs="Arial"/>
          <w:color w:val="000000"/>
          <w:sz w:val="24"/>
          <w:szCs w:val="24"/>
        </w:rPr>
        <w:t xml:space="preserve">Se activa y actualiza el Consejo Superior de </w:t>
      </w:r>
      <w:r w:rsidRPr="0042160A">
        <w:rPr>
          <w:rFonts w:ascii="Arial" w:hAnsi="Arial" w:cs="Arial"/>
          <w:color w:val="000000"/>
          <w:sz w:val="24"/>
          <w:szCs w:val="24"/>
        </w:rPr>
        <w:lastRenderedPageBreak/>
        <w:t>Fundaciones, definiendo su estructura y composición con presencia del Estado, las comunidades autónomas y el sector fundacional.</w:t>
      </w:r>
    </w:p>
    <w:p w14:paraId="5C8DCD02"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Real Decreto 55/2026, de 3 de febrero, por el que se aprueba el Programa anual 2026 del Plan Estadístico Nacional 2025-2028.</w:t>
      </w:r>
      <w:r w:rsidR="009D2DA6">
        <w:rPr>
          <w:rFonts w:ascii="Arial" w:hAnsi="Arial" w:cs="Arial"/>
          <w:bCs/>
          <w:sz w:val="24"/>
          <w:szCs w:val="24"/>
        </w:rPr>
        <w:t xml:space="preserve"> S</w:t>
      </w:r>
      <w:r w:rsidRPr="0042160A">
        <w:rPr>
          <w:rFonts w:ascii="Arial" w:hAnsi="Arial" w:cs="Arial"/>
          <w:bCs/>
          <w:sz w:val="24"/>
          <w:szCs w:val="24"/>
        </w:rPr>
        <w:t>e estudiará el juego de azar online y el juego de azar presencial, junto con otras conductas como el uso problemático de internet, redes sociales, videojuegos y pornografía.</w:t>
      </w:r>
    </w:p>
    <w:p w14:paraId="46FEA0EA"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Real Decreto 57/2026, de 28 de enero, por el que se modifica el Real Decreto 989/2021, de 16 de noviembre, por el que se aprueba la concesión directa a las comunidades autónomas y a las ciudades de Ceuta y Melilla de ayudas para la ejecución del programa de emisión de bonos digitales para colectivos vulnerables, en el marco del Plan de Recuperación, Transformación y Resiliencia, para su adaptación a la Adenda al Plan de Recuperación, Transformación y Resiliencia de Apoyo a la Recuperación y Resiliencia en respuesta a desastres naturales (Programa UNICO-Bono social).  </w:t>
      </w:r>
    </w:p>
    <w:p w14:paraId="31700D05"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 xml:space="preserve">Orden DCA/448/2026, de 5 de mayo, por la que se regula el Sistema de Información Estatal de Servicios Sociales. </w:t>
      </w:r>
      <w:r w:rsidRPr="0042160A">
        <w:rPr>
          <w:rFonts w:ascii="Arial" w:hAnsi="Arial" w:cs="Arial"/>
          <w:bCs/>
          <w:sz w:val="24"/>
          <w:szCs w:val="24"/>
        </w:rPr>
        <w:t>Se define la estructura y el funcionamiento del Sistema de Información Estatal de Servicios Sociales para unificar los datos sobre servicios sociales y el SAAD a nivel estatal.</w:t>
      </w:r>
    </w:p>
    <w:p w14:paraId="32B054C1" w14:textId="77777777" w:rsidR="00323B84" w:rsidRPr="0042160A" w:rsidRDefault="00323B84" w:rsidP="00433A3F">
      <w:pPr>
        <w:numPr>
          <w:ilvl w:val="1"/>
          <w:numId w:val="19"/>
        </w:numPr>
        <w:jc w:val="both"/>
        <w:rPr>
          <w:rFonts w:ascii="Arial" w:hAnsi="Arial" w:cs="Arial"/>
          <w:sz w:val="24"/>
          <w:szCs w:val="24"/>
          <w:lang w:val="es-ES_tradnl"/>
        </w:rPr>
      </w:pPr>
      <w:r w:rsidRPr="0042160A">
        <w:rPr>
          <w:rFonts w:ascii="Arial" w:hAnsi="Arial" w:cs="Arial"/>
          <w:b/>
          <w:sz w:val="24"/>
          <w:szCs w:val="24"/>
        </w:rPr>
        <w:t>Orden PJC/163/2026, de 25 de febrero, por la que se regula el Observatorio Estatal del Voluntariado.</w:t>
      </w:r>
      <w:r w:rsidR="00646120">
        <w:rPr>
          <w:rFonts w:ascii="Arial" w:hAnsi="Arial" w:cs="Arial"/>
          <w:b/>
          <w:sz w:val="24"/>
          <w:szCs w:val="24"/>
        </w:rPr>
        <w:t xml:space="preserve"> </w:t>
      </w:r>
      <w:r w:rsidRPr="0042160A">
        <w:rPr>
          <w:rFonts w:ascii="Arial" w:hAnsi="Arial" w:cs="Arial"/>
          <w:bCs/>
          <w:sz w:val="24"/>
          <w:szCs w:val="24"/>
        </w:rPr>
        <w:t>Se trata de un órgano de colaboración entre administraciones públicas y entidades sociales para analizar, estudiar y promover el voluntariado en España. Se tendrá en cuenta la participación de entidades sociales que trabajan con colectivos vulnerables.</w:t>
      </w:r>
    </w:p>
    <w:p w14:paraId="31B04515" w14:textId="77777777" w:rsidR="00323B84" w:rsidRPr="00854FE2" w:rsidRDefault="00323B84" w:rsidP="00433A3F">
      <w:pPr>
        <w:numPr>
          <w:ilvl w:val="1"/>
          <w:numId w:val="19"/>
        </w:numPr>
        <w:jc w:val="both"/>
        <w:rPr>
          <w:rFonts w:ascii="Arial" w:hAnsi="Arial" w:cs="Arial"/>
          <w:sz w:val="24"/>
          <w:szCs w:val="24"/>
          <w:lang w:val="es-ES_tradnl"/>
        </w:rPr>
      </w:pPr>
      <w:r w:rsidRPr="0042160A">
        <w:rPr>
          <w:rFonts w:ascii="Arial" w:hAnsi="Arial" w:cs="Arial"/>
          <w:b/>
          <w:bCs/>
          <w:sz w:val="24"/>
          <w:szCs w:val="24"/>
        </w:rPr>
        <w:t>Orden INT/312/2026, de 27 de marzo, por la que se aprueba el formulario único para la solicitud de las ayudas a la población afectada gravemente por una emergencia de protección civil y el modelo normalizado de declaración responsable de anticipos a cuenta, reconocidos en el Real Decreto-ley 5/2026, de 17 de febrero, por el que se adoptan medidas urgentes en respuesta a los daños causados por diversos fenómenos meteorológicos adversos de especial afectación en las comunidades autónomas de Andalucía y Extremadura.</w:t>
      </w:r>
    </w:p>
    <w:p w14:paraId="52570FB8" w14:textId="77777777" w:rsidR="00EC20DE" w:rsidRPr="00FC0476" w:rsidRDefault="00854FE2" w:rsidP="00433A3F">
      <w:pPr>
        <w:numPr>
          <w:ilvl w:val="1"/>
          <w:numId w:val="19"/>
        </w:numPr>
        <w:jc w:val="both"/>
        <w:rPr>
          <w:rFonts w:ascii="Arial" w:hAnsi="Arial" w:cs="Arial"/>
          <w:sz w:val="24"/>
          <w:szCs w:val="24"/>
          <w:lang w:val="es-ES_tradnl"/>
        </w:rPr>
      </w:pPr>
      <w:r w:rsidRPr="00854FE2">
        <w:rPr>
          <w:rFonts w:ascii="Arial" w:hAnsi="Arial" w:cs="Arial"/>
          <w:b/>
          <w:bCs/>
          <w:sz w:val="24"/>
          <w:szCs w:val="24"/>
          <w:lang w:val="es-ES_tradnl"/>
        </w:rPr>
        <w:t xml:space="preserve">Extracto de la Resolución de fecha 17 de junio de 2026 del Mando de Personal del Ejército de Tierra, por la se convocan subvenciones de ayudas de acción social para Organismos, Asociaciones, Fundaciones e Instituciones sin ánimo de lucro relacionadas con el Ejército de Tierra para el año 2026. Las subvenciones están dirigidas a entidades sin </w:t>
      </w:r>
      <w:r w:rsidRPr="00854FE2">
        <w:rPr>
          <w:rFonts w:ascii="Arial" w:hAnsi="Arial" w:cs="Arial"/>
          <w:b/>
          <w:bCs/>
          <w:sz w:val="24"/>
          <w:szCs w:val="24"/>
          <w:lang w:val="es-ES_tradnl"/>
        </w:rPr>
        <w:lastRenderedPageBreak/>
        <w:t>ánimo de lucro vinculadas al Ejército de Tierra.</w:t>
      </w:r>
      <w:r w:rsidRPr="00854FE2">
        <w:rPr>
          <w:rFonts w:ascii="Arial" w:hAnsi="Arial" w:cs="Arial"/>
          <w:sz w:val="24"/>
          <w:szCs w:val="24"/>
          <w:lang w:val="es-ES_tradnl"/>
        </w:rPr>
        <w:t xml:space="preserve"> Los beneficiarios son militares retirados del ET y de los Cuerpos Comunes, así como sus viudos y huérfanos. La ayuda se orienta a quienes estén en situación de discapacidad, gran necesidad o bajos ingresos.</w:t>
      </w:r>
    </w:p>
    <w:p w14:paraId="7102DE8E" w14:textId="77777777" w:rsidR="00323B84" w:rsidRPr="0042160A" w:rsidRDefault="00323B84" w:rsidP="00433A3F">
      <w:pPr>
        <w:ind w:left="708" w:hanging="348"/>
        <w:jc w:val="both"/>
        <w:rPr>
          <w:rFonts w:ascii="Arial" w:hAnsi="Arial" w:cs="Arial"/>
          <w:sz w:val="24"/>
          <w:szCs w:val="24"/>
        </w:rPr>
      </w:pPr>
      <w:r w:rsidRPr="0042160A">
        <w:rPr>
          <w:rFonts w:ascii="Arial" w:hAnsi="Arial" w:cs="Arial"/>
          <w:sz w:val="24"/>
          <w:szCs w:val="24"/>
          <w:u w:val="single"/>
        </w:rPr>
        <w:t>A nivel autonómico</w:t>
      </w:r>
      <w:r w:rsidRPr="0042160A">
        <w:rPr>
          <w:rFonts w:ascii="Arial" w:hAnsi="Arial" w:cs="Arial"/>
          <w:sz w:val="24"/>
          <w:szCs w:val="24"/>
        </w:rPr>
        <w:t>, destacar:</w:t>
      </w:r>
    </w:p>
    <w:p w14:paraId="1620F030" w14:textId="77777777" w:rsidR="00864C0D" w:rsidRPr="00864C0D" w:rsidRDefault="00864C0D" w:rsidP="00864C0D">
      <w:pPr>
        <w:numPr>
          <w:ilvl w:val="1"/>
          <w:numId w:val="19"/>
        </w:numPr>
        <w:jc w:val="both"/>
        <w:rPr>
          <w:rFonts w:ascii="Arial" w:hAnsi="Arial" w:cs="Arial"/>
          <w:sz w:val="24"/>
          <w:szCs w:val="24"/>
          <w:lang w:val="es-ES_tradnl"/>
        </w:rPr>
      </w:pPr>
      <w:r w:rsidRPr="00864C0D">
        <w:rPr>
          <w:rFonts w:ascii="Arial" w:hAnsi="Arial" w:cs="Arial"/>
          <w:b/>
          <w:bCs/>
          <w:sz w:val="24"/>
          <w:szCs w:val="24"/>
        </w:rPr>
        <w:t>NAVARRA:</w:t>
      </w:r>
      <w:r w:rsidRPr="00864C0D">
        <w:rPr>
          <w:rFonts w:ascii="Arial" w:hAnsi="Arial" w:cs="Arial"/>
          <w:sz w:val="24"/>
          <w:szCs w:val="24"/>
          <w:lang w:val="es-ES_tradnl"/>
        </w:rPr>
        <w:t xml:space="preserve"> </w:t>
      </w:r>
      <w:r w:rsidRPr="00864C0D">
        <w:rPr>
          <w:rFonts w:ascii="Arial" w:hAnsi="Arial" w:cs="Arial"/>
          <w:b/>
          <w:bCs/>
          <w:sz w:val="24"/>
          <w:szCs w:val="24"/>
          <w:lang w:val="es-ES_tradnl"/>
        </w:rPr>
        <w:t>Resolución 303E/2026, de 14 de mayo, del director general de Salud, por la que se aprueban las bases reguladoras de la convocatoria de subvenciones destinadas a complementar el tratamiento de niñas, niños y personas adultas menores de 23 años, o de entre 23 y 2 6 años con un grado de discapacidad igual o superior al 65% acreditada antes de cumplir los 23 años, y diagnosticadas en ambos casos con anterioridad a los 18 años de edad, de daño cerebral adquirido y patologías neurológicas afines, realizado del 1 de julio de 2025 al 30 de junio de 2026, ambos inclusive.</w:t>
      </w:r>
    </w:p>
    <w:p w14:paraId="08AB2BFF" w14:textId="77777777" w:rsidR="00646120" w:rsidRPr="0042160A" w:rsidRDefault="009F70DF" w:rsidP="00433A3F">
      <w:pPr>
        <w:numPr>
          <w:ilvl w:val="1"/>
          <w:numId w:val="19"/>
        </w:numPr>
        <w:jc w:val="both"/>
        <w:rPr>
          <w:rFonts w:ascii="Arial" w:hAnsi="Arial" w:cs="Arial"/>
          <w:sz w:val="24"/>
          <w:szCs w:val="24"/>
          <w:lang w:val="es-ES_tradnl"/>
        </w:rPr>
      </w:pPr>
      <w:r w:rsidRPr="009F70DF">
        <w:rPr>
          <w:rFonts w:ascii="Arial" w:hAnsi="Arial" w:cs="Arial"/>
          <w:b/>
          <w:bCs/>
          <w:sz w:val="24"/>
          <w:szCs w:val="24"/>
        </w:rPr>
        <w:t>ASTURIAS</w:t>
      </w:r>
      <w:r w:rsidR="00646120">
        <w:rPr>
          <w:rFonts w:ascii="Arial" w:hAnsi="Arial" w:cs="Arial"/>
          <w:sz w:val="24"/>
          <w:szCs w:val="24"/>
        </w:rPr>
        <w:t xml:space="preserve">: </w:t>
      </w:r>
      <w:r w:rsidR="00646120" w:rsidRPr="0042160A">
        <w:rPr>
          <w:rFonts w:ascii="Arial" w:hAnsi="Arial" w:cs="Arial"/>
          <w:b/>
          <w:bCs/>
          <w:sz w:val="24"/>
          <w:szCs w:val="24"/>
          <w:lang w:val="es-ES_tradnl"/>
        </w:rPr>
        <w:t>Ley del Principado de Asturias 3/2026, de 13 de mayo, de</w:t>
      </w:r>
      <w:r w:rsidR="00D862AA">
        <w:rPr>
          <w:rFonts w:ascii="Arial" w:hAnsi="Arial" w:cs="Arial"/>
          <w:b/>
          <w:bCs/>
          <w:sz w:val="24"/>
          <w:szCs w:val="24"/>
          <w:lang w:val="es-ES_tradnl"/>
        </w:rPr>
        <w:t xml:space="preserve"> </w:t>
      </w:r>
      <w:r w:rsidR="00646120" w:rsidRPr="0042160A">
        <w:rPr>
          <w:rFonts w:ascii="Arial" w:hAnsi="Arial" w:cs="Arial"/>
          <w:b/>
          <w:bCs/>
          <w:sz w:val="24"/>
          <w:szCs w:val="24"/>
          <w:lang w:val="es-ES_tradnl"/>
        </w:rPr>
        <w:t>Profesionales.</w:t>
      </w:r>
      <w:r w:rsidR="00646120" w:rsidRPr="0042160A">
        <w:rPr>
          <w:rFonts w:ascii="Arial" w:hAnsi="Arial" w:cs="Arial"/>
          <w:sz w:val="24"/>
          <w:szCs w:val="24"/>
          <w:lang w:val="es-ES_tradnl"/>
        </w:rPr>
        <w:t xml:space="preserve"> La ley favorece el acceso a la colegiación mediante bonificaciones o exenciones de cuotas para personas en situación de vulnerabilidad económica o social.</w:t>
      </w:r>
    </w:p>
    <w:p w14:paraId="29C37ED9" w14:textId="77777777" w:rsidR="00323B84" w:rsidRPr="00646120" w:rsidRDefault="00323B84" w:rsidP="00433A3F">
      <w:pPr>
        <w:numPr>
          <w:ilvl w:val="1"/>
          <w:numId w:val="19"/>
        </w:numPr>
        <w:jc w:val="both"/>
        <w:rPr>
          <w:rFonts w:ascii="Arial" w:hAnsi="Arial" w:cs="Arial"/>
          <w:sz w:val="24"/>
          <w:szCs w:val="24"/>
        </w:rPr>
      </w:pPr>
      <w:r w:rsidRPr="00646120">
        <w:rPr>
          <w:rFonts w:ascii="Arial" w:hAnsi="Arial" w:cs="Arial"/>
          <w:b/>
          <w:bCs/>
          <w:sz w:val="24"/>
          <w:szCs w:val="24"/>
        </w:rPr>
        <w:t>CATALUÑA: Ley 6/2026, de 28 de mayo, del tercer sector social. Tiene como objetivo regular el marco jurídico del tercer sector social de Cataluña y promover su reconocimiento y fortalecimiento en todos los ámbitos de actuación</w:t>
      </w:r>
      <w:r w:rsidRPr="00646120">
        <w:rPr>
          <w:rFonts w:ascii="Arial" w:hAnsi="Arial" w:cs="Arial"/>
          <w:sz w:val="24"/>
          <w:szCs w:val="24"/>
        </w:rPr>
        <w:t>.</w:t>
      </w:r>
    </w:p>
    <w:p w14:paraId="4BE620ED"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bCs/>
          <w:sz w:val="24"/>
          <w:szCs w:val="24"/>
        </w:rPr>
        <w:t>COMUNIDAD VALENCIANA: Ley 2/2026, de 14 de abril, de la Generalitat, para la mejora de la renta valenciana de inclusión</w:t>
      </w:r>
      <w:r w:rsidRPr="0042160A">
        <w:rPr>
          <w:rFonts w:ascii="Arial" w:hAnsi="Arial" w:cs="Arial"/>
          <w:sz w:val="24"/>
          <w:szCs w:val="24"/>
        </w:rPr>
        <w:t>. La norma garantiza una mayor protección social y estabilidad económica a las personas en situación de vulnerabilidad, incluyendo a las personas con discapacidad, mediante el refuerzo de la renta valenciana de inclusión. Persigue promover la inclusión laboral y la autonomía, adaptando las prestaciones a sus necesidades específicas.</w:t>
      </w:r>
    </w:p>
    <w:p w14:paraId="5689F29F"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bCs/>
          <w:sz w:val="24"/>
          <w:szCs w:val="24"/>
        </w:rPr>
        <w:t xml:space="preserve">CANTABRIA: </w:t>
      </w:r>
      <w:r w:rsidRPr="0042160A">
        <w:rPr>
          <w:rFonts w:ascii="Arial" w:hAnsi="Arial" w:cs="Arial"/>
          <w:b/>
          <w:bCs/>
          <w:color w:val="000000"/>
          <w:sz w:val="24"/>
          <w:szCs w:val="24"/>
        </w:rPr>
        <w:t xml:space="preserve">Ley 7/2025, de 5 de enero, de </w:t>
      </w:r>
      <w:hyperlink r:id="rId11" w:tgtFrame="_blank" w:history="1">
        <w:r w:rsidRPr="0042160A">
          <w:rPr>
            <w:rStyle w:val="Hipervnculo"/>
            <w:rFonts w:ascii="Arial" w:hAnsi="Arial" w:cs="Arial"/>
            <w:b/>
            <w:bCs/>
            <w:color w:val="000000"/>
            <w:sz w:val="24"/>
            <w:szCs w:val="24"/>
            <w:u w:val="none"/>
          </w:rPr>
          <w:t>Participación Ciudadana en la Administración de la Comunidad Autónoma de Cantabria</w:t>
        </w:r>
      </w:hyperlink>
      <w:r w:rsidRPr="0042160A">
        <w:rPr>
          <w:rFonts w:ascii="Arial" w:hAnsi="Arial" w:cs="Arial"/>
          <w:b/>
          <w:bCs/>
          <w:color w:val="000000"/>
          <w:sz w:val="24"/>
          <w:szCs w:val="24"/>
        </w:rPr>
        <w:t>.</w:t>
      </w:r>
    </w:p>
    <w:p w14:paraId="052DA564" w14:textId="77777777" w:rsidR="00323B84" w:rsidRPr="0042160A" w:rsidRDefault="00323B84" w:rsidP="00433A3F">
      <w:pPr>
        <w:numPr>
          <w:ilvl w:val="1"/>
          <w:numId w:val="19"/>
        </w:numPr>
        <w:jc w:val="both"/>
        <w:rPr>
          <w:rFonts w:ascii="Arial" w:hAnsi="Arial" w:cs="Arial"/>
          <w:sz w:val="24"/>
          <w:szCs w:val="24"/>
        </w:rPr>
      </w:pPr>
      <w:r w:rsidRPr="00E46F90">
        <w:rPr>
          <w:rFonts w:ascii="Arial" w:hAnsi="Arial" w:cs="Arial"/>
          <w:b/>
          <w:bCs/>
          <w:sz w:val="24"/>
          <w:szCs w:val="24"/>
        </w:rPr>
        <w:t xml:space="preserve">CATALUÑA: </w:t>
      </w:r>
      <w:r w:rsidRPr="0042160A">
        <w:rPr>
          <w:rFonts w:ascii="Arial" w:hAnsi="Arial" w:cs="Arial"/>
          <w:b/>
          <w:bCs/>
          <w:sz w:val="24"/>
          <w:szCs w:val="24"/>
        </w:rPr>
        <w:t>Decreto ley 4/2026, de 28 de abril, de medidas urgentes en el ámbito de la dependencia.</w:t>
      </w:r>
    </w:p>
    <w:p w14:paraId="432EA8D2"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sz w:val="24"/>
          <w:szCs w:val="24"/>
        </w:rPr>
        <w:t xml:space="preserve">CATALUÑA: </w:t>
      </w:r>
      <w:r w:rsidRPr="0042160A">
        <w:rPr>
          <w:rFonts w:ascii="Arial" w:hAnsi="Arial" w:cs="Arial"/>
          <w:b/>
          <w:bCs/>
          <w:sz w:val="24"/>
          <w:szCs w:val="24"/>
        </w:rPr>
        <w:t>Decreto Ley 1/2026, de 17 de marzo, por el que se regulan las prestaciones económicas para las personas con grado III+ de dependencia extrema y de modificación de la Ley 12/2007, de 11 de octubre, de servicios sociales.</w:t>
      </w:r>
    </w:p>
    <w:p w14:paraId="700F62AB" w14:textId="77777777" w:rsidR="00323B84" w:rsidRPr="0006477C" w:rsidRDefault="00323B84" w:rsidP="00433A3F">
      <w:pPr>
        <w:numPr>
          <w:ilvl w:val="1"/>
          <w:numId w:val="19"/>
        </w:numPr>
        <w:jc w:val="both"/>
        <w:rPr>
          <w:rFonts w:ascii="Arial" w:hAnsi="Arial" w:cs="Arial"/>
          <w:sz w:val="24"/>
          <w:szCs w:val="24"/>
        </w:rPr>
      </w:pPr>
      <w:r w:rsidRPr="0042160A">
        <w:rPr>
          <w:rFonts w:ascii="Arial" w:hAnsi="Arial" w:cs="Arial"/>
          <w:b/>
          <w:sz w:val="24"/>
          <w:szCs w:val="24"/>
        </w:rPr>
        <w:lastRenderedPageBreak/>
        <w:t>CASTILLA-LA MANCHA</w:t>
      </w:r>
      <w:r w:rsidRPr="0042160A">
        <w:rPr>
          <w:rFonts w:ascii="Arial" w:hAnsi="Arial" w:cs="Arial"/>
          <w:b/>
          <w:bCs/>
          <w:sz w:val="24"/>
          <w:szCs w:val="24"/>
        </w:rPr>
        <w:t>:  Decreto 9/2026, de 17 de marzo, por el que se modifica el Decreto 35/2025, de 6 de mayo, por el que se aprueban las bases reguladoras de la concesión directa de las ayudas de transporte y comedor dirigidas a centros privados concertados de educación especial y al alumnado de los mismos.</w:t>
      </w:r>
    </w:p>
    <w:p w14:paraId="194926EB" w14:textId="77777777" w:rsidR="0006477C" w:rsidRPr="0006477C" w:rsidRDefault="0006477C" w:rsidP="00433A3F">
      <w:pPr>
        <w:numPr>
          <w:ilvl w:val="1"/>
          <w:numId w:val="19"/>
        </w:numPr>
        <w:jc w:val="both"/>
        <w:rPr>
          <w:rFonts w:ascii="Arial" w:hAnsi="Arial" w:cs="Arial"/>
          <w:b/>
          <w:bCs/>
          <w:sz w:val="24"/>
          <w:szCs w:val="24"/>
        </w:rPr>
      </w:pPr>
      <w:r w:rsidRPr="0006477C">
        <w:rPr>
          <w:rFonts w:ascii="Arial" w:hAnsi="Arial" w:cs="Arial"/>
          <w:b/>
          <w:bCs/>
          <w:sz w:val="24"/>
          <w:szCs w:val="24"/>
        </w:rPr>
        <w:t>ARAGÓN: Orden DBF/819/2026, de 19 de mayo, por la que se hace pública la convocatoria de ayudas individuales para personas con grado de y personas en situación de dependencia, para 2026.</w:t>
      </w:r>
    </w:p>
    <w:p w14:paraId="2666D552" w14:textId="77777777" w:rsidR="0006477C" w:rsidRPr="0006477C" w:rsidRDefault="0006477C" w:rsidP="00433A3F">
      <w:pPr>
        <w:numPr>
          <w:ilvl w:val="1"/>
          <w:numId w:val="19"/>
        </w:numPr>
        <w:jc w:val="both"/>
        <w:rPr>
          <w:rFonts w:ascii="Arial" w:hAnsi="Arial" w:cs="Arial"/>
          <w:b/>
          <w:bCs/>
          <w:sz w:val="24"/>
          <w:szCs w:val="24"/>
        </w:rPr>
      </w:pPr>
      <w:r w:rsidRPr="0006477C">
        <w:rPr>
          <w:rFonts w:ascii="Arial" w:hAnsi="Arial" w:cs="Arial"/>
          <w:b/>
          <w:bCs/>
          <w:sz w:val="24"/>
          <w:szCs w:val="24"/>
        </w:rPr>
        <w:t>NAVARRA: Orden Foral 294E/2026, de 12 de mayo, de la consejera de Derechos Sociales, Economía Social y Empleo, por la que se aprueba la convocatoria de la subvención a entidades de iniciativa social del área de personas con discapacidad para el desarrollo de programas de respiro familiar para personas con discapacidad para el año 2026.</w:t>
      </w:r>
    </w:p>
    <w:p w14:paraId="52127D5C"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bCs/>
          <w:sz w:val="24"/>
          <w:szCs w:val="24"/>
        </w:rPr>
        <w:t xml:space="preserve">ARAGÓN: Orden BSF/715/2026, de 28 de abril, por la que se hace pública la convocatoria de ayudas individuales de pago indirecto para atención temprana, año 2026. </w:t>
      </w:r>
    </w:p>
    <w:p w14:paraId="2A6012B5"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sz w:val="24"/>
          <w:szCs w:val="24"/>
        </w:rPr>
        <w:t>GALICIA:</w:t>
      </w:r>
      <w:r w:rsidRPr="0042160A">
        <w:rPr>
          <w:rFonts w:ascii="Arial" w:hAnsi="Arial" w:cs="Arial"/>
          <w:b/>
          <w:bCs/>
          <w:sz w:val="24"/>
          <w:szCs w:val="24"/>
        </w:rPr>
        <w:t> Orden de 26 de marzo de 2026 por la que se actualiza el módulo de financiación del servicio de ayuda en el hogar a personas en situación de dependencia.</w:t>
      </w:r>
      <w:r w:rsidRPr="0042160A">
        <w:rPr>
          <w:rFonts w:ascii="Arial" w:hAnsi="Arial" w:cs="Arial"/>
          <w:b/>
          <w:sz w:val="24"/>
          <w:szCs w:val="24"/>
        </w:rPr>
        <w:t> </w:t>
      </w:r>
    </w:p>
    <w:p w14:paraId="42BA6CE4"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bCs/>
          <w:sz w:val="24"/>
          <w:szCs w:val="24"/>
        </w:rPr>
        <w:t>CEUTA Y MELILLA: Orden DCA/348/2026, de 8 de abril, por la que se dictan normas para la aplicación y desarrollo, en las ciudades de Ceuta y de Melilla, del Real Decreto 888/2022, de 18 de octubre, por el que se establece el procedimiento para el reconocimiento, declaración y calificación del grado de discapacidad.</w:t>
      </w:r>
      <w:r w:rsidRPr="0042160A">
        <w:rPr>
          <w:rFonts w:ascii="Arial" w:hAnsi="Arial" w:cs="Arial"/>
          <w:sz w:val="24"/>
          <w:szCs w:val="24"/>
        </w:rPr>
        <w:t xml:space="preserve">   Establece normas específicas para Ceuta y Melilla, donde la competencia corresponde al IMSERSO.  Regula la composición, organización y funciones de los equipos multiprofesionales de valoración.</w:t>
      </w:r>
    </w:p>
    <w:p w14:paraId="04F03715"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bCs/>
          <w:sz w:val="24"/>
          <w:szCs w:val="24"/>
        </w:rPr>
        <w:t>CASTILLA – LA MANCHA. Orden 7/2026, de 27 de enero, de la Consejería de Sanidad, por la que se establecen las bases reguladoras de subvenciones en régimen de procedimiento simplificado de concurrencia para personas diagnosticadas de esclerosis lateral amiotrófica y otras enfermedades o procesos de alta complejidad y curso irreversible en Castilla-La Mancha</w:t>
      </w:r>
    </w:p>
    <w:p w14:paraId="0E7DC25A"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sz w:val="24"/>
          <w:szCs w:val="24"/>
        </w:rPr>
        <w:t>CATALUÑA:</w:t>
      </w:r>
      <w:r w:rsidRPr="0042160A">
        <w:rPr>
          <w:rFonts w:ascii="Arial" w:hAnsi="Arial" w:cs="Arial"/>
          <w:b/>
          <w:bCs/>
          <w:sz w:val="24"/>
          <w:szCs w:val="24"/>
        </w:rPr>
        <w:t> Resolución SLT/727/2026, de 12 de marzo, por la que se crea el Comité Operativo de Cuidados</w:t>
      </w:r>
      <w:r w:rsidRPr="0042160A">
        <w:rPr>
          <w:rFonts w:ascii="Arial" w:hAnsi="Arial" w:cs="Arial"/>
          <w:b/>
          <w:sz w:val="24"/>
          <w:szCs w:val="24"/>
        </w:rPr>
        <w:t>.</w:t>
      </w:r>
    </w:p>
    <w:p w14:paraId="0995A022" w14:textId="77777777" w:rsidR="00323B84" w:rsidRPr="0042160A" w:rsidRDefault="00323B84" w:rsidP="00433A3F">
      <w:pPr>
        <w:numPr>
          <w:ilvl w:val="1"/>
          <w:numId w:val="19"/>
        </w:numPr>
        <w:jc w:val="both"/>
        <w:rPr>
          <w:rFonts w:ascii="Arial" w:hAnsi="Arial" w:cs="Arial"/>
          <w:sz w:val="24"/>
          <w:szCs w:val="24"/>
        </w:rPr>
      </w:pPr>
      <w:r w:rsidRPr="0042160A">
        <w:rPr>
          <w:rFonts w:ascii="Arial" w:hAnsi="Arial" w:cs="Arial"/>
          <w:b/>
          <w:sz w:val="24"/>
          <w:szCs w:val="24"/>
        </w:rPr>
        <w:t xml:space="preserve">ARAGÓN: </w:t>
      </w:r>
      <w:r w:rsidR="00030DCC">
        <w:rPr>
          <w:rFonts w:ascii="Arial" w:hAnsi="Arial" w:cs="Arial"/>
          <w:b/>
          <w:bCs/>
          <w:sz w:val="24"/>
          <w:szCs w:val="24"/>
        </w:rPr>
        <w:t>R</w:t>
      </w:r>
      <w:r w:rsidR="00030DCC" w:rsidRPr="0042160A">
        <w:rPr>
          <w:rFonts w:ascii="Arial" w:hAnsi="Arial" w:cs="Arial"/>
          <w:b/>
          <w:bCs/>
          <w:sz w:val="24"/>
          <w:szCs w:val="24"/>
        </w:rPr>
        <w:t>esolución</w:t>
      </w:r>
      <w:r w:rsidRPr="0042160A">
        <w:rPr>
          <w:rFonts w:ascii="Arial" w:hAnsi="Arial" w:cs="Arial"/>
          <w:b/>
          <w:bCs/>
          <w:sz w:val="24"/>
          <w:szCs w:val="24"/>
        </w:rPr>
        <w:t xml:space="preserve"> de 11 de marzo de 2026, del Director General de la Función Pública, por la que se aprueba la lista de espera derivada del correspondiente proceso selectivo para ingreso, por turno </w:t>
      </w:r>
      <w:r w:rsidRPr="0042160A">
        <w:rPr>
          <w:rFonts w:ascii="Arial" w:hAnsi="Arial" w:cs="Arial"/>
          <w:b/>
          <w:bCs/>
          <w:sz w:val="24"/>
          <w:szCs w:val="24"/>
        </w:rPr>
        <w:lastRenderedPageBreak/>
        <w:t>independiente para personas con discapacidad, en el Cuerpo Ejecutivo de la Administración de la Comunidad Autónoma de Aragón, Escala General Administrativa, Administrativos</w:t>
      </w:r>
    </w:p>
    <w:p w14:paraId="4C2CFCFC" w14:textId="77777777" w:rsidR="00030DCC" w:rsidRDefault="00323B84" w:rsidP="00433A3F">
      <w:pPr>
        <w:numPr>
          <w:ilvl w:val="1"/>
          <w:numId w:val="19"/>
        </w:numPr>
        <w:jc w:val="both"/>
        <w:rPr>
          <w:rFonts w:ascii="Arial" w:hAnsi="Arial" w:cs="Arial"/>
          <w:sz w:val="24"/>
          <w:szCs w:val="24"/>
        </w:rPr>
      </w:pPr>
      <w:r w:rsidRPr="0042160A">
        <w:rPr>
          <w:rFonts w:ascii="Arial" w:hAnsi="Arial" w:cs="Arial"/>
          <w:b/>
          <w:sz w:val="24"/>
          <w:szCs w:val="24"/>
        </w:rPr>
        <w:t>CASTILLA- LA MANCHA:</w:t>
      </w:r>
      <w:r w:rsidRPr="0042160A">
        <w:rPr>
          <w:rFonts w:ascii="Arial" w:hAnsi="Arial" w:cs="Arial"/>
          <w:b/>
          <w:bCs/>
          <w:sz w:val="24"/>
          <w:szCs w:val="24"/>
        </w:rPr>
        <w:t> Resolución de 02/03/2026, de la Dirección General de Transportes y Movilidad, por la que se modifica el anexo I de la Orden 58/2019, de 4 de abril, de la Consejería de Fomento, por la que se establece una ayuda al transporte para personas con grado de discapacidad igual o superior al 33%, consistente en la reducción del 50% del precio del billete de los viajes realizados dentro de la comunidad autónoma, en los servicios regulares de transporte interurbano de viajeros por carretera</w:t>
      </w:r>
      <w:r w:rsidRPr="0042160A">
        <w:rPr>
          <w:rFonts w:ascii="Arial" w:hAnsi="Arial" w:cs="Arial"/>
          <w:b/>
          <w:sz w:val="24"/>
          <w:szCs w:val="24"/>
        </w:rPr>
        <w:t>.</w:t>
      </w:r>
    </w:p>
    <w:p w14:paraId="74F23812" w14:textId="77777777" w:rsidR="00EC20DE" w:rsidRPr="002A5614" w:rsidRDefault="00030DCC" w:rsidP="00433A3F">
      <w:pPr>
        <w:numPr>
          <w:ilvl w:val="1"/>
          <w:numId w:val="19"/>
        </w:numPr>
        <w:jc w:val="both"/>
        <w:rPr>
          <w:rFonts w:ascii="Arial" w:hAnsi="Arial" w:cs="Arial"/>
          <w:sz w:val="24"/>
          <w:szCs w:val="24"/>
        </w:rPr>
      </w:pPr>
      <w:r w:rsidRPr="00030DCC">
        <w:rPr>
          <w:rFonts w:ascii="Arial" w:hAnsi="Arial" w:cs="Arial"/>
          <w:b/>
          <w:color w:val="000000"/>
          <w:sz w:val="24"/>
          <w:szCs w:val="24"/>
          <w:lang w:val="es-ES_tradnl"/>
        </w:rPr>
        <w:t>CEUTA Y MELILLA: Extracto de la Resolución del Instituto de Mayores y Servicios Sociales, por la que se convoca la concesión de subvenciones a personas mayores, personas con discapacidad y personas en situación de dependencia residentes en las Ciudades de Ceuta y de Melilla, durante el año 2026.</w:t>
      </w:r>
    </w:p>
    <w:p w14:paraId="0B5DF34B" w14:textId="77777777" w:rsidR="00EC20DE" w:rsidRPr="0042160A" w:rsidRDefault="00EC20DE" w:rsidP="00433A3F">
      <w:pPr>
        <w:spacing w:after="160" w:line="259" w:lineRule="auto"/>
        <w:jc w:val="both"/>
        <w:rPr>
          <w:rFonts w:ascii="Arial" w:hAnsi="Arial" w:cs="Arial"/>
          <w:b/>
          <w:color w:val="000000"/>
          <w:sz w:val="24"/>
          <w:szCs w:val="24"/>
          <w:lang w:val="es-ES_tradnl"/>
        </w:rPr>
      </w:pPr>
    </w:p>
    <w:p w14:paraId="2E4B3553" w14:textId="77777777" w:rsidR="0072249E" w:rsidRPr="0042160A" w:rsidRDefault="0072249E" w:rsidP="00433A3F">
      <w:pPr>
        <w:numPr>
          <w:ilvl w:val="0"/>
          <w:numId w:val="1"/>
        </w:numPr>
        <w:shd w:val="clear" w:color="auto" w:fill="A5C9EB"/>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ECONOMÍA SOCIAL</w:t>
      </w:r>
    </w:p>
    <w:p w14:paraId="16498A05" w14:textId="77777777" w:rsidR="0034254D" w:rsidRPr="0042160A" w:rsidRDefault="0034254D" w:rsidP="00433A3F">
      <w:pPr>
        <w:numPr>
          <w:ilvl w:val="1"/>
          <w:numId w:val="1"/>
        </w:numPr>
        <w:jc w:val="both"/>
        <w:rPr>
          <w:rFonts w:ascii="Arial" w:hAnsi="Arial" w:cs="Arial"/>
          <w:b/>
          <w:bCs/>
          <w:vanish/>
          <w:color w:val="000000"/>
          <w:sz w:val="24"/>
          <w:szCs w:val="24"/>
          <w:highlight w:val="yellow"/>
        </w:rPr>
      </w:pPr>
    </w:p>
    <w:p w14:paraId="1E40A5A1" w14:textId="77777777" w:rsidR="0034254D" w:rsidRPr="0042160A" w:rsidRDefault="0034254D" w:rsidP="00433A3F">
      <w:pPr>
        <w:pStyle w:val="Prrafodelista"/>
        <w:numPr>
          <w:ilvl w:val="0"/>
          <w:numId w:val="2"/>
        </w:numPr>
        <w:jc w:val="both"/>
        <w:rPr>
          <w:rFonts w:ascii="Arial" w:hAnsi="Arial" w:cs="Arial"/>
          <w:b/>
          <w:bCs/>
          <w:vanish/>
          <w:color w:val="000000"/>
          <w:sz w:val="24"/>
          <w:szCs w:val="24"/>
          <w:highlight w:val="yellow"/>
        </w:rPr>
      </w:pPr>
    </w:p>
    <w:p w14:paraId="311ED3BA" w14:textId="77777777" w:rsidR="0034254D" w:rsidRPr="0042160A" w:rsidRDefault="0034254D" w:rsidP="00433A3F">
      <w:pPr>
        <w:pStyle w:val="Prrafodelista"/>
        <w:numPr>
          <w:ilvl w:val="0"/>
          <w:numId w:val="2"/>
        </w:numPr>
        <w:jc w:val="both"/>
        <w:rPr>
          <w:rFonts w:ascii="Arial" w:hAnsi="Arial" w:cs="Arial"/>
          <w:b/>
          <w:bCs/>
          <w:vanish/>
          <w:color w:val="000000"/>
          <w:sz w:val="24"/>
          <w:szCs w:val="24"/>
          <w:highlight w:val="yellow"/>
        </w:rPr>
      </w:pPr>
    </w:p>
    <w:p w14:paraId="06AD4FEE" w14:textId="77777777" w:rsidR="00323B84" w:rsidRPr="0042160A" w:rsidRDefault="00323B84" w:rsidP="00433A3F">
      <w:pPr>
        <w:ind w:firstLine="360"/>
        <w:jc w:val="both"/>
        <w:rPr>
          <w:rFonts w:ascii="Arial" w:hAnsi="Arial" w:cs="Arial"/>
          <w:sz w:val="24"/>
          <w:szCs w:val="24"/>
          <w:lang w:val="es-ES_tradnl"/>
        </w:rPr>
      </w:pPr>
      <w:r w:rsidRPr="0042160A">
        <w:rPr>
          <w:rFonts w:ascii="Arial" w:hAnsi="Arial" w:cs="Arial"/>
          <w:sz w:val="24"/>
          <w:szCs w:val="24"/>
          <w:lang w:val="es-ES_tradnl"/>
        </w:rPr>
        <w:t xml:space="preserve">Por lo que se refiere a </w:t>
      </w:r>
      <w:r w:rsidRPr="0042160A">
        <w:rPr>
          <w:rFonts w:ascii="Arial" w:hAnsi="Arial" w:cs="Arial"/>
          <w:sz w:val="24"/>
          <w:szCs w:val="24"/>
          <w:u w:val="single"/>
          <w:lang w:val="es-ES_tradnl"/>
        </w:rPr>
        <w:t>la normativa estatal</w:t>
      </w:r>
      <w:r w:rsidRPr="0042160A">
        <w:rPr>
          <w:rFonts w:ascii="Arial" w:hAnsi="Arial" w:cs="Arial"/>
          <w:sz w:val="24"/>
          <w:szCs w:val="24"/>
          <w:lang w:val="es-ES_tradnl"/>
        </w:rPr>
        <w:t xml:space="preserve"> de este periodo, relevante en materia de economía social, cabe destacar: </w:t>
      </w:r>
    </w:p>
    <w:p w14:paraId="41E00A45" w14:textId="22C3968D" w:rsidR="00323B84" w:rsidRPr="0042160A" w:rsidRDefault="00323B84" w:rsidP="00433A3F">
      <w:pPr>
        <w:numPr>
          <w:ilvl w:val="1"/>
          <w:numId w:val="20"/>
        </w:numPr>
        <w:jc w:val="both"/>
        <w:rPr>
          <w:rFonts w:ascii="Arial" w:hAnsi="Arial" w:cs="Arial"/>
          <w:b/>
          <w:bCs/>
          <w:sz w:val="24"/>
          <w:szCs w:val="24"/>
          <w:lang w:val="es-ES_tradnl"/>
        </w:rPr>
      </w:pPr>
      <w:r w:rsidRPr="0042160A">
        <w:rPr>
          <w:rFonts w:ascii="Arial" w:hAnsi="Arial" w:cs="Arial"/>
          <w:b/>
          <w:bCs/>
          <w:sz w:val="24"/>
          <w:szCs w:val="24"/>
          <w:lang w:val="es-ES_tradnl"/>
        </w:rPr>
        <w:t xml:space="preserve">Ley 1/2026, de 8 de abril, integral de impulso de la economía social. </w:t>
      </w:r>
      <w:r w:rsidRPr="0042160A">
        <w:rPr>
          <w:rFonts w:ascii="Arial" w:hAnsi="Arial" w:cs="Arial"/>
          <w:sz w:val="24"/>
          <w:szCs w:val="24"/>
          <w:lang w:val="es-ES_tradnl"/>
        </w:rPr>
        <w:t>ncorpora el reconocimiento expreso de los Centros Especiales de Empleo de iniciativa social como parte de la economía social.</w:t>
      </w:r>
    </w:p>
    <w:p w14:paraId="4AF6C45E" w14:textId="77777777" w:rsidR="00323B84" w:rsidRPr="009F70DF" w:rsidRDefault="00323B84" w:rsidP="00433A3F">
      <w:pPr>
        <w:numPr>
          <w:ilvl w:val="1"/>
          <w:numId w:val="20"/>
        </w:numPr>
        <w:jc w:val="both"/>
        <w:rPr>
          <w:rFonts w:ascii="Arial" w:hAnsi="Arial" w:cs="Arial"/>
          <w:b/>
          <w:bCs/>
          <w:sz w:val="24"/>
          <w:szCs w:val="24"/>
          <w:lang w:val="es-ES_tradnl"/>
        </w:rPr>
      </w:pPr>
      <w:r w:rsidRPr="0042160A">
        <w:rPr>
          <w:rFonts w:ascii="Arial" w:hAnsi="Arial" w:cs="Arial"/>
          <w:b/>
          <w:bCs/>
          <w:sz w:val="24"/>
          <w:szCs w:val="24"/>
          <w:lang w:val="es-ES_tradnl"/>
        </w:rPr>
        <w:t>Orden TES/567/2026, de 27 de mayo, por la que se establecen las bases reguladoras de la concesión de subvenciones a proyectos de economía social y de responsabilidad social de las empresas y para sufragar parcialmente los gastos de funcionamiento de las entidades asociativas y representativas de la economía social de ámbito estatal.</w:t>
      </w:r>
      <w:r w:rsidRPr="0042160A">
        <w:rPr>
          <w:rFonts w:ascii="Arial" w:hAnsi="Arial" w:cs="Arial"/>
          <w:sz w:val="24"/>
          <w:szCs w:val="24"/>
          <w:lang w:val="es-ES_tradnl"/>
        </w:rPr>
        <w:t xml:space="preserve"> Incorpora algunas mejoras en aspectos como la simplificación administrativa y la claridad en ciertos gastos subvencionables. Entre sus beneficios destacan la reducción de cargas para las entidades y una mayor seguridad jurídica en la gestión de las ayudas. Sin embargo, mantiene limitaciones importantes.</w:t>
      </w:r>
    </w:p>
    <w:p w14:paraId="77D8390A" w14:textId="77777777" w:rsidR="00323B84" w:rsidRPr="0042160A" w:rsidRDefault="00323B84" w:rsidP="00433A3F">
      <w:pPr>
        <w:ind w:firstLine="360"/>
        <w:jc w:val="both"/>
        <w:rPr>
          <w:rFonts w:ascii="Arial" w:hAnsi="Arial" w:cs="Arial"/>
          <w:sz w:val="24"/>
          <w:szCs w:val="24"/>
          <w:lang w:val="es-ES_tradnl"/>
        </w:rPr>
      </w:pPr>
      <w:r w:rsidRPr="0042160A">
        <w:rPr>
          <w:rFonts w:ascii="Arial" w:hAnsi="Arial" w:cs="Arial"/>
          <w:sz w:val="24"/>
          <w:szCs w:val="24"/>
          <w:lang w:val="es-ES_tradnl"/>
        </w:rPr>
        <w:t xml:space="preserve">A nivel autonómico destacar en: </w:t>
      </w:r>
    </w:p>
    <w:p w14:paraId="3D112E3E" w14:textId="77777777" w:rsidR="009F70DF" w:rsidRPr="009F70DF" w:rsidRDefault="009F70DF" w:rsidP="00433A3F">
      <w:pPr>
        <w:numPr>
          <w:ilvl w:val="1"/>
          <w:numId w:val="20"/>
        </w:numPr>
        <w:jc w:val="both"/>
        <w:rPr>
          <w:rFonts w:ascii="Arial" w:hAnsi="Arial" w:cs="Arial"/>
          <w:b/>
          <w:bCs/>
          <w:sz w:val="24"/>
          <w:szCs w:val="24"/>
          <w:lang w:val="es-ES_tradnl"/>
        </w:rPr>
      </w:pPr>
      <w:r>
        <w:rPr>
          <w:rFonts w:ascii="Arial" w:hAnsi="Arial" w:cs="Arial"/>
          <w:sz w:val="24"/>
          <w:szCs w:val="24"/>
          <w:lang w:val="es-ES_tradnl"/>
        </w:rPr>
        <w:t xml:space="preserve"> </w:t>
      </w:r>
      <w:r w:rsidRPr="009F70DF">
        <w:rPr>
          <w:rFonts w:ascii="Arial" w:hAnsi="Arial" w:cs="Arial"/>
          <w:b/>
          <w:bCs/>
          <w:sz w:val="24"/>
          <w:szCs w:val="24"/>
          <w:lang w:val="es-ES_tradnl"/>
        </w:rPr>
        <w:t xml:space="preserve">NAVARRA: Orden Foral 327E/2026, de 26 de mayo, de la consejera de Derechos Sociales, Economía Social y Empleo, por la que se aprueba la modificación de la convocatoria de la "Subvención para el fomento de </w:t>
      </w:r>
      <w:r w:rsidRPr="009F70DF">
        <w:rPr>
          <w:rFonts w:ascii="Arial" w:hAnsi="Arial" w:cs="Arial"/>
          <w:b/>
          <w:bCs/>
          <w:sz w:val="24"/>
          <w:szCs w:val="24"/>
          <w:lang w:val="es-ES_tradnl"/>
        </w:rPr>
        <w:lastRenderedPageBreak/>
        <w:t>la cooperación y la innovación entre entidades y/o empresas de la economía social para 2026.</w:t>
      </w:r>
    </w:p>
    <w:p w14:paraId="5727D2DE" w14:textId="77777777" w:rsidR="00542FF9" w:rsidRPr="009350B7" w:rsidRDefault="00542FF9" w:rsidP="00433A3F">
      <w:pPr>
        <w:numPr>
          <w:ilvl w:val="1"/>
          <w:numId w:val="20"/>
        </w:numPr>
        <w:jc w:val="both"/>
        <w:rPr>
          <w:rFonts w:ascii="Arial" w:hAnsi="Arial" w:cs="Arial"/>
          <w:sz w:val="24"/>
          <w:szCs w:val="24"/>
          <w:lang w:val="es-ES_tradnl"/>
        </w:rPr>
      </w:pPr>
      <w:r w:rsidRPr="0042160A">
        <w:rPr>
          <w:rFonts w:ascii="Arial" w:hAnsi="Arial" w:cs="Arial"/>
          <w:b/>
          <w:bCs/>
          <w:sz w:val="24"/>
          <w:szCs w:val="24"/>
        </w:rPr>
        <w:t>ARAGÓN: Orden ECE/822/2026, de 20 de mayo, por la que se convocan para el año 2026 las subvenciones para inversiones fijas generadoras de empleo reguladas en la Orden EPE/23/2023, de 16 de enero, por la que se establecen las bases reguladoras del programa de inclusión laboral de personas con discapacidad en el mercado de trabajo protegido mediante la concesión de subvenciones dirigidas a fomentar la creación y mantenimiento de puestos de trabajo en los centros especiales de empleo</w:t>
      </w:r>
      <w:r w:rsidRPr="0042160A">
        <w:rPr>
          <w:rFonts w:ascii="Arial" w:hAnsi="Arial" w:cs="Arial"/>
          <w:sz w:val="24"/>
          <w:szCs w:val="24"/>
        </w:rPr>
        <w:t>.</w:t>
      </w:r>
    </w:p>
    <w:p w14:paraId="2DD18064" w14:textId="77777777" w:rsidR="009350B7" w:rsidRPr="009350B7" w:rsidRDefault="009350B7" w:rsidP="009350B7">
      <w:pPr>
        <w:numPr>
          <w:ilvl w:val="1"/>
          <w:numId w:val="20"/>
        </w:numPr>
        <w:jc w:val="both"/>
        <w:rPr>
          <w:rFonts w:ascii="Arial" w:hAnsi="Arial" w:cs="Arial"/>
          <w:b/>
          <w:bCs/>
          <w:sz w:val="24"/>
          <w:szCs w:val="24"/>
        </w:rPr>
      </w:pPr>
      <w:r w:rsidRPr="009350B7">
        <w:rPr>
          <w:rFonts w:ascii="Arial" w:hAnsi="Arial" w:cs="Arial"/>
          <w:b/>
          <w:bCs/>
          <w:sz w:val="24"/>
          <w:szCs w:val="24"/>
        </w:rPr>
        <w:t>MADRID: Extracto de la Orden de 14 de mayo de 2026, de la consejera de Economía, Hacienda y Empleo, por la que se convocan, para el año 2026, las ayudas a las unidades de apoyo a la actividad profesional, en el marco de los servicios de ajuste personal y social de los centros especiales de empleo, del programa de inclusión laboral de personas con discapacidad en el mercado de trabajo protegido.</w:t>
      </w:r>
    </w:p>
    <w:p w14:paraId="59374BD3" w14:textId="77777777" w:rsidR="00542FF9" w:rsidRPr="0042160A" w:rsidRDefault="00542FF9" w:rsidP="00433A3F">
      <w:pPr>
        <w:numPr>
          <w:ilvl w:val="1"/>
          <w:numId w:val="20"/>
        </w:numPr>
        <w:jc w:val="both"/>
        <w:rPr>
          <w:rFonts w:ascii="Arial" w:hAnsi="Arial" w:cs="Arial"/>
          <w:sz w:val="24"/>
          <w:szCs w:val="24"/>
          <w:lang w:val="es-ES_tradnl"/>
        </w:rPr>
      </w:pPr>
      <w:r w:rsidRPr="0042160A">
        <w:rPr>
          <w:rFonts w:ascii="Arial" w:hAnsi="Arial" w:cs="Arial"/>
          <w:b/>
          <w:bCs/>
          <w:sz w:val="24"/>
          <w:szCs w:val="24"/>
        </w:rPr>
        <w:t>ANDALUCÍA</w:t>
      </w:r>
      <w:r w:rsidRPr="0042160A">
        <w:rPr>
          <w:rFonts w:ascii="Arial" w:hAnsi="Arial" w:cs="Arial"/>
          <w:sz w:val="24"/>
          <w:szCs w:val="24"/>
        </w:rPr>
        <w:t xml:space="preserve">: </w:t>
      </w:r>
      <w:r w:rsidRPr="0042160A">
        <w:rPr>
          <w:rFonts w:ascii="Arial" w:hAnsi="Arial" w:cs="Arial"/>
          <w:b/>
          <w:bCs/>
          <w:sz w:val="24"/>
          <w:szCs w:val="24"/>
        </w:rPr>
        <w:t>Resolución de 11 de marzo de 2026, de la Dirección General de Trabajo Autónomo y Economía Social, por la que se convocan, para el año 2026, las subvenciones en régimen de concurrencia competitiva, correspondientes a las Líneas 2, 3 y 4 reguladas en la Orden de 6 de junio de 2014, por la que se aprueban las bases reguladoras para la concesión de subvenciones del Programa de Apoyo a la Promoción y el Desarrollo de la Economía Social para el Empleo.</w:t>
      </w:r>
    </w:p>
    <w:p w14:paraId="3964D324" w14:textId="77777777" w:rsidR="00323B84" w:rsidRPr="00EC20DE" w:rsidRDefault="00323B84" w:rsidP="00433A3F">
      <w:pPr>
        <w:numPr>
          <w:ilvl w:val="1"/>
          <w:numId w:val="20"/>
        </w:numPr>
        <w:jc w:val="both"/>
        <w:rPr>
          <w:rFonts w:ascii="Arial" w:hAnsi="Arial" w:cs="Arial"/>
          <w:sz w:val="24"/>
          <w:szCs w:val="24"/>
          <w:lang w:val="es-ES_tradnl"/>
        </w:rPr>
      </w:pPr>
      <w:r w:rsidRPr="0042160A">
        <w:rPr>
          <w:rFonts w:ascii="Arial" w:hAnsi="Arial" w:cs="Arial"/>
          <w:b/>
          <w:bCs/>
          <w:sz w:val="24"/>
          <w:szCs w:val="24"/>
        </w:rPr>
        <w:t>NAVARRA:</w:t>
      </w:r>
      <w:r w:rsidRPr="0042160A">
        <w:rPr>
          <w:rFonts w:ascii="Arial" w:hAnsi="Arial" w:cs="Arial"/>
          <w:sz w:val="24"/>
          <w:szCs w:val="24"/>
        </w:rPr>
        <w:t xml:space="preserve"> </w:t>
      </w:r>
      <w:r w:rsidRPr="0042160A">
        <w:rPr>
          <w:rFonts w:ascii="Arial" w:hAnsi="Arial" w:cs="Arial"/>
          <w:b/>
          <w:bCs/>
          <w:sz w:val="24"/>
          <w:szCs w:val="24"/>
        </w:rPr>
        <w:t>Resolución 483E/2026, de 23 de febrero, de la directora gerente del Servicio Navarro de Empleo-Nafar Lansare, por la que se autoriza el gasto asociado a la convocatoria de subvenciones para la creación y promoción de empresas de Economía Social y se modifica la Resolución 2296/2018.</w:t>
      </w:r>
    </w:p>
    <w:p w14:paraId="6C04DEB9" w14:textId="77777777" w:rsidR="00582600" w:rsidRPr="002A5614" w:rsidRDefault="0034254D"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ASUNTOS ECONÓMICOS</w:t>
      </w:r>
    </w:p>
    <w:p w14:paraId="11E14676" w14:textId="77777777" w:rsidR="00E87B3B" w:rsidRDefault="00E87B3B" w:rsidP="00433A3F">
      <w:pPr>
        <w:numPr>
          <w:ilvl w:val="1"/>
          <w:numId w:val="29"/>
        </w:numPr>
        <w:spacing w:after="160" w:line="259" w:lineRule="auto"/>
        <w:jc w:val="both"/>
        <w:rPr>
          <w:rFonts w:ascii="Arial" w:hAnsi="Arial" w:cs="Arial"/>
          <w:b/>
          <w:color w:val="000000"/>
          <w:sz w:val="24"/>
          <w:szCs w:val="24"/>
          <w:lang w:val="es-ES_tradnl"/>
        </w:rPr>
      </w:pPr>
      <w:r w:rsidRPr="00E87B3B">
        <w:rPr>
          <w:rFonts w:ascii="Arial" w:hAnsi="Arial" w:cs="Arial"/>
          <w:b/>
          <w:color w:val="000000"/>
          <w:sz w:val="24"/>
          <w:szCs w:val="24"/>
          <w:lang w:val="es-ES_tradnl"/>
        </w:rPr>
        <w:t>Real Decreto-ley 10/2026, de 28 de abril, por el que se aprueban medidas tributarias urgentes y otras medidas de apoyo en respuesta a los daños causados a las víctimas de siniestros de la DANA y otras situaciones de emergencia. Establece ayudas y medidas urgentes para apoyar a los afectados por desastres naturales y acelerar la recuperación económica y social</w:t>
      </w:r>
      <w:r>
        <w:rPr>
          <w:rFonts w:ascii="Arial" w:hAnsi="Arial" w:cs="Arial"/>
          <w:b/>
          <w:color w:val="000000"/>
          <w:sz w:val="24"/>
          <w:szCs w:val="24"/>
          <w:lang w:val="es-ES_tradnl"/>
        </w:rPr>
        <w:t>.</w:t>
      </w:r>
    </w:p>
    <w:p w14:paraId="0A58DC09" w14:textId="77777777" w:rsidR="00E87B3B" w:rsidRDefault="00E87B3B" w:rsidP="00433A3F">
      <w:pPr>
        <w:numPr>
          <w:ilvl w:val="1"/>
          <w:numId w:val="29"/>
        </w:numPr>
        <w:spacing w:after="160" w:line="259" w:lineRule="auto"/>
        <w:jc w:val="both"/>
        <w:rPr>
          <w:rFonts w:ascii="Arial" w:hAnsi="Arial" w:cs="Arial"/>
          <w:b/>
          <w:color w:val="000000"/>
          <w:sz w:val="24"/>
          <w:szCs w:val="24"/>
          <w:lang w:val="es-ES_tradnl"/>
        </w:rPr>
      </w:pPr>
      <w:r w:rsidRPr="00E87B3B">
        <w:rPr>
          <w:rFonts w:ascii="Arial" w:hAnsi="Arial" w:cs="Arial"/>
          <w:b/>
          <w:color w:val="000000"/>
          <w:sz w:val="24"/>
          <w:szCs w:val="24"/>
          <w:lang w:val="es-ES_tradnl"/>
        </w:rPr>
        <w:t xml:space="preserve">Real Decreto-ley 3/2026, de 3 de febrero, para la revalorización de las pensiones públicas y otras medidas urgentes en materia de Seguridad Social. Tras el rechazo a la convalidación del anterior decreto ómnibus, </w:t>
      </w:r>
      <w:r w:rsidRPr="00E87B3B">
        <w:rPr>
          <w:rFonts w:ascii="Arial" w:hAnsi="Arial" w:cs="Arial"/>
          <w:b/>
          <w:color w:val="000000"/>
          <w:sz w:val="24"/>
          <w:szCs w:val="24"/>
          <w:lang w:val="es-ES_tradnl"/>
        </w:rPr>
        <w:lastRenderedPageBreak/>
        <w:t>el Ejecutivo ha decidido sacar adelante una norma que incluya únicamente la revalorización de las pensiones. Entre las pensiones que se revalorizan, se encuentran las pensiones contributivas y no contributivas, las de Clases Pasivas, las de los hogares a los que alcanza el Ingreso Mínimo Vital y quienes tengan reconocida la asignación por hijo a cargo con discapacidad igual o superior al 65 %. La asignación por hijo a cargo o menor con discapacidad reconocida igual o superior al 65 % alcanza en 2026 los 5.962,80 euros al año, mientras que la asignación por hijo a cargo o menor con discapacidad reconocida igual o superior al 75 % se sitúa en 8.942,40 euros anuales</w:t>
      </w:r>
    </w:p>
    <w:p w14:paraId="0DFDFD78" w14:textId="77777777" w:rsidR="002A5614" w:rsidRPr="008C03D9" w:rsidRDefault="00E87B3B" w:rsidP="00433A3F">
      <w:pPr>
        <w:numPr>
          <w:ilvl w:val="1"/>
          <w:numId w:val="29"/>
        </w:numPr>
        <w:spacing w:after="160" w:line="259" w:lineRule="auto"/>
        <w:jc w:val="both"/>
        <w:rPr>
          <w:rFonts w:ascii="Arial" w:hAnsi="Arial" w:cs="Arial"/>
          <w:b/>
          <w:color w:val="000000"/>
          <w:sz w:val="24"/>
          <w:szCs w:val="24"/>
          <w:lang w:val="es-ES_tradnl"/>
        </w:rPr>
      </w:pPr>
      <w:r w:rsidRPr="00E87B3B">
        <w:rPr>
          <w:rFonts w:ascii="Arial" w:hAnsi="Arial" w:cs="Arial"/>
          <w:b/>
          <w:color w:val="000000"/>
          <w:sz w:val="24"/>
          <w:szCs w:val="24"/>
          <w:lang w:val="es-ES_tradnl"/>
        </w:rPr>
        <w:t xml:space="preserve">Real Decreto 241/2026, de 25 de marzo, sobre limitación de la cuantía inicial de las pensiones públicas y revalorización de las pensiones del sistema de la Seguridad Social, de las pensiones de Clases Pasivas del Estado y de otras prestaciones sociales públicas para el ejercicio 2026. </w:t>
      </w:r>
      <w:r w:rsidRPr="00E87B3B">
        <w:rPr>
          <w:rFonts w:ascii="Arial" w:hAnsi="Arial" w:cs="Arial"/>
          <w:bCs/>
          <w:color w:val="000000"/>
          <w:sz w:val="24"/>
          <w:szCs w:val="24"/>
          <w:lang w:val="es-ES_tradnl"/>
        </w:rPr>
        <w:t>Regula la actualización de pensiones y prestaciones públicas para 2026 con el objetivo de mantener su poder adquisitivo.</w:t>
      </w:r>
    </w:p>
    <w:p w14:paraId="63F1A0E9" w14:textId="77777777" w:rsidR="008C03D9" w:rsidRPr="008C03D9" w:rsidRDefault="008C03D9" w:rsidP="00433A3F">
      <w:pPr>
        <w:numPr>
          <w:ilvl w:val="1"/>
          <w:numId w:val="29"/>
        </w:numPr>
        <w:jc w:val="both"/>
        <w:rPr>
          <w:rFonts w:ascii="Arial" w:hAnsi="Arial" w:cs="Arial"/>
          <w:b/>
          <w:color w:val="000000"/>
          <w:sz w:val="24"/>
          <w:szCs w:val="24"/>
          <w:lang w:val="es-ES_tradnl"/>
        </w:rPr>
      </w:pPr>
      <w:r w:rsidRPr="008C03D9">
        <w:rPr>
          <w:rFonts w:ascii="Arial" w:hAnsi="Arial" w:cs="Arial"/>
          <w:b/>
          <w:color w:val="000000"/>
          <w:sz w:val="24"/>
          <w:szCs w:val="24"/>
          <w:lang w:val="es-ES_tradnl"/>
        </w:rPr>
        <w:t>Extracto de la Resolución de 18 de junio de 2026 de la Secretaria General del Real Patronato sobre Discapacidad, por la que se convocan las ayudas del Programa Reina Letizia para la Inclusión, dirigido a promover la mejora de las condiciones formativas y profesionales de las personas con discapacidad.</w:t>
      </w:r>
    </w:p>
    <w:p w14:paraId="47B6ECF3" w14:textId="77777777" w:rsidR="008C03D9" w:rsidRPr="00FC0476" w:rsidRDefault="008C03D9" w:rsidP="00433A3F">
      <w:pPr>
        <w:spacing w:after="160" w:line="259" w:lineRule="auto"/>
        <w:ind w:left="360"/>
        <w:jc w:val="both"/>
        <w:rPr>
          <w:rFonts w:ascii="Arial" w:hAnsi="Arial" w:cs="Arial"/>
          <w:b/>
          <w:color w:val="000000"/>
          <w:sz w:val="24"/>
          <w:szCs w:val="24"/>
          <w:lang w:val="es-ES_tradnl"/>
        </w:rPr>
      </w:pPr>
    </w:p>
    <w:p w14:paraId="4FAD0C1B" w14:textId="77777777" w:rsidR="00C74A64" w:rsidRPr="0042160A" w:rsidRDefault="00C74A64" w:rsidP="00433A3F">
      <w:pPr>
        <w:ind w:firstLine="360"/>
        <w:jc w:val="both"/>
        <w:rPr>
          <w:rFonts w:ascii="Arial" w:hAnsi="Arial" w:cs="Arial"/>
          <w:sz w:val="24"/>
          <w:szCs w:val="24"/>
          <w:lang w:val="es-ES_tradnl"/>
        </w:rPr>
      </w:pPr>
      <w:r w:rsidRPr="0042160A">
        <w:rPr>
          <w:rFonts w:ascii="Arial" w:hAnsi="Arial" w:cs="Arial"/>
          <w:sz w:val="24"/>
          <w:szCs w:val="24"/>
          <w:lang w:val="es-ES_tradnl"/>
        </w:rPr>
        <w:t xml:space="preserve">A nivel autonómico destacar en: </w:t>
      </w:r>
    </w:p>
    <w:p w14:paraId="3CB63BE1" w14:textId="77777777" w:rsidR="00E87B3B" w:rsidRDefault="00C74A64" w:rsidP="00433A3F">
      <w:pPr>
        <w:numPr>
          <w:ilvl w:val="1"/>
          <w:numId w:val="29"/>
        </w:numPr>
        <w:spacing w:after="160" w:line="259" w:lineRule="auto"/>
        <w:jc w:val="both"/>
        <w:rPr>
          <w:rFonts w:ascii="Arial" w:hAnsi="Arial" w:cs="Arial"/>
          <w:b/>
          <w:color w:val="000000"/>
          <w:sz w:val="24"/>
          <w:szCs w:val="24"/>
          <w:lang w:val="es-ES_tradnl"/>
        </w:rPr>
      </w:pPr>
      <w:r w:rsidRPr="00C74A64">
        <w:rPr>
          <w:rFonts w:ascii="Arial" w:hAnsi="Arial" w:cs="Arial"/>
          <w:b/>
          <w:color w:val="000000"/>
          <w:sz w:val="24"/>
          <w:szCs w:val="24"/>
          <w:lang w:val="es-ES_tradnl"/>
        </w:rPr>
        <w:t>CANARIAS: Resolución de 25 de marzo de 2026, por la que se establecen los requisitos y el procedimiento para el abono del complemento a las pensiones no contributivas, previsto en la Ley 9/2025, de 23 de diciembre, de Presupuestos Generales de la Comunidad Autónoma de Canarias para 2026</w:t>
      </w:r>
      <w:r>
        <w:rPr>
          <w:rFonts w:ascii="Arial" w:hAnsi="Arial" w:cs="Arial"/>
          <w:b/>
          <w:color w:val="000000"/>
          <w:sz w:val="24"/>
          <w:szCs w:val="24"/>
          <w:lang w:val="es-ES_tradnl"/>
        </w:rPr>
        <w:t>.</w:t>
      </w:r>
    </w:p>
    <w:p w14:paraId="3623F8EF" w14:textId="77777777" w:rsidR="00C74A64" w:rsidRDefault="00C74A64" w:rsidP="00433A3F">
      <w:pPr>
        <w:numPr>
          <w:ilvl w:val="1"/>
          <w:numId w:val="29"/>
        </w:numPr>
        <w:spacing w:after="160" w:line="259" w:lineRule="auto"/>
        <w:jc w:val="both"/>
        <w:rPr>
          <w:rFonts w:ascii="Arial" w:hAnsi="Arial" w:cs="Arial"/>
          <w:b/>
          <w:color w:val="000000"/>
          <w:sz w:val="24"/>
          <w:szCs w:val="24"/>
          <w:lang w:val="es-ES_tradnl"/>
        </w:rPr>
      </w:pPr>
      <w:r>
        <w:rPr>
          <w:rFonts w:ascii="Arial" w:hAnsi="Arial" w:cs="Arial"/>
          <w:b/>
          <w:color w:val="000000"/>
          <w:sz w:val="24"/>
          <w:szCs w:val="24"/>
          <w:lang w:val="es-ES_tradnl"/>
        </w:rPr>
        <w:t xml:space="preserve"> </w:t>
      </w:r>
      <w:r w:rsidRPr="00C74A64">
        <w:rPr>
          <w:rFonts w:ascii="Arial" w:hAnsi="Arial" w:cs="Arial"/>
          <w:b/>
          <w:color w:val="000000"/>
          <w:sz w:val="24"/>
          <w:szCs w:val="24"/>
          <w:lang w:val="es-ES_tradnl"/>
        </w:rPr>
        <w:t>LA RIOJA: Resolución 29/2026, de 17 de marzo, de la Consejería de Educación y Empleo, por la que se aprueba la convocatoria de subvenciones a ONGs y otras Entidades sin ánimo de lucro en la Comunidad Autónoma de La Rioja para la realización de actividades formativas dirigidas a colectivos de personas con discapacidad y personas en edad escolar con problemas de integración en el curso escolar 2025/2026.</w:t>
      </w:r>
    </w:p>
    <w:p w14:paraId="1D11CCA2" w14:textId="77777777" w:rsidR="00E87B3B" w:rsidRDefault="00C74A64" w:rsidP="00433A3F">
      <w:pPr>
        <w:numPr>
          <w:ilvl w:val="1"/>
          <w:numId w:val="29"/>
        </w:numPr>
        <w:spacing w:after="160" w:line="259" w:lineRule="auto"/>
        <w:jc w:val="both"/>
        <w:rPr>
          <w:rFonts w:ascii="Arial" w:hAnsi="Arial" w:cs="Arial"/>
          <w:b/>
          <w:color w:val="000000"/>
          <w:sz w:val="24"/>
          <w:szCs w:val="24"/>
          <w:lang w:val="es-ES_tradnl"/>
        </w:rPr>
      </w:pPr>
      <w:r w:rsidRPr="00C74A64">
        <w:rPr>
          <w:rFonts w:ascii="Arial" w:hAnsi="Arial" w:cs="Arial"/>
          <w:b/>
          <w:color w:val="000000"/>
          <w:sz w:val="24"/>
          <w:szCs w:val="24"/>
          <w:lang w:val="es-ES_tradnl"/>
        </w:rPr>
        <w:t>COMUNIDAD VALENCIANA: Resolución de 6 de marzo de 2026, por la que se convocan para el ejercicio 2026 las subvenciones en materia de envejecimiento activo y lucha contra la soledad no deseada.</w:t>
      </w:r>
    </w:p>
    <w:p w14:paraId="4EE4143B" w14:textId="77777777" w:rsidR="00413FEC" w:rsidRDefault="00413FEC" w:rsidP="00413FEC">
      <w:pPr>
        <w:spacing w:after="160" w:line="259" w:lineRule="auto"/>
        <w:jc w:val="both"/>
        <w:rPr>
          <w:rFonts w:ascii="Arial" w:hAnsi="Arial" w:cs="Arial"/>
          <w:b/>
          <w:color w:val="000000"/>
          <w:sz w:val="24"/>
          <w:szCs w:val="24"/>
          <w:lang w:val="es-ES_tradnl"/>
        </w:rPr>
      </w:pPr>
    </w:p>
    <w:p w14:paraId="1EE8E9D0" w14:textId="77777777" w:rsidR="002A5614" w:rsidRPr="00C74A64" w:rsidRDefault="002A5614" w:rsidP="00433A3F">
      <w:pPr>
        <w:spacing w:after="160" w:line="259" w:lineRule="auto"/>
        <w:ind w:left="360"/>
        <w:jc w:val="both"/>
        <w:rPr>
          <w:rFonts w:ascii="Arial" w:hAnsi="Arial" w:cs="Arial"/>
          <w:b/>
          <w:color w:val="000000"/>
          <w:sz w:val="24"/>
          <w:szCs w:val="24"/>
          <w:lang w:val="es-ES_tradnl"/>
        </w:rPr>
      </w:pPr>
    </w:p>
    <w:p w14:paraId="685E83E3" w14:textId="77777777" w:rsidR="0072249E" w:rsidRPr="0042160A" w:rsidRDefault="0072249E"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lastRenderedPageBreak/>
        <w:t>EMPLEO</w:t>
      </w:r>
    </w:p>
    <w:p w14:paraId="0CF68591" w14:textId="77777777" w:rsidR="00030DCC" w:rsidRPr="0042160A" w:rsidRDefault="00030DCC" w:rsidP="00433A3F">
      <w:pPr>
        <w:spacing w:after="160" w:line="259" w:lineRule="auto"/>
        <w:jc w:val="both"/>
        <w:rPr>
          <w:rFonts w:ascii="Arial" w:hAnsi="Arial" w:cs="Arial"/>
          <w:bCs/>
          <w:color w:val="000000"/>
          <w:sz w:val="24"/>
          <w:szCs w:val="24"/>
          <w:lang w:val="es-ES_tradnl"/>
        </w:rPr>
      </w:pPr>
      <w:r w:rsidRPr="0042160A">
        <w:rPr>
          <w:rFonts w:ascii="Arial" w:hAnsi="Arial" w:cs="Arial"/>
          <w:bCs/>
          <w:color w:val="000000"/>
          <w:sz w:val="24"/>
          <w:szCs w:val="24"/>
          <w:lang w:val="es-ES_tradnl"/>
        </w:rPr>
        <w:t xml:space="preserve">En cuanto a normativa propiamente dicha, a nivel </w:t>
      </w:r>
      <w:r w:rsidRPr="0042160A">
        <w:rPr>
          <w:rFonts w:ascii="Arial" w:hAnsi="Arial" w:cs="Arial"/>
          <w:bCs/>
          <w:color w:val="000000"/>
          <w:sz w:val="24"/>
          <w:szCs w:val="24"/>
          <w:u w:val="single"/>
          <w:lang w:val="es-ES_tradnl"/>
        </w:rPr>
        <w:t>estatal</w:t>
      </w:r>
      <w:r w:rsidRPr="0042160A">
        <w:rPr>
          <w:rFonts w:ascii="Arial" w:hAnsi="Arial" w:cs="Arial"/>
          <w:bCs/>
          <w:color w:val="000000"/>
          <w:sz w:val="24"/>
          <w:szCs w:val="24"/>
          <w:lang w:val="es-ES_tradnl"/>
        </w:rPr>
        <w:t xml:space="preserve"> señalar:</w:t>
      </w:r>
    </w:p>
    <w:p w14:paraId="686EC6F1" w14:textId="77777777"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Real Decreto 416/2026, de 27 de mayo, por el que se regula el régimen jurídico de la jubilación flexible y otros aspectos comunes a las modalidades de compatibilidad de la pensión contributiva de jubilación con el trabajo, y se modifica el régimen de la jubilación demorada.</w:t>
      </w:r>
    </w:p>
    <w:p w14:paraId="7CD2FF63" w14:textId="34A1461E"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030DCC">
        <w:rPr>
          <w:rFonts w:ascii="Arial" w:hAnsi="Arial" w:cs="Arial"/>
          <w:b/>
          <w:color w:val="000000"/>
          <w:sz w:val="24"/>
          <w:szCs w:val="24"/>
          <w:lang w:val="es-ES_tradnl"/>
        </w:rPr>
        <w:t xml:space="preserve">Real Decreto 387/2026, de 6 de mayo, por el que se aprueba la oferta de empleo público correspondiente al ejercicio 2026. </w:t>
      </w:r>
      <w:r w:rsidRPr="00EC6BC5">
        <w:rPr>
          <w:rFonts w:ascii="Arial" w:hAnsi="Arial" w:cs="Arial"/>
          <w:bCs/>
          <w:color w:val="000000"/>
          <w:sz w:val="24"/>
          <w:szCs w:val="24"/>
          <w:lang w:val="es-ES_tradnl"/>
        </w:rPr>
        <w:t xml:space="preserve">Se </w:t>
      </w:r>
      <w:r w:rsidR="00EC6BC5" w:rsidRPr="00EC6BC5">
        <w:rPr>
          <w:rFonts w:ascii="Arial" w:hAnsi="Arial" w:cs="Arial"/>
          <w:bCs/>
          <w:color w:val="000000"/>
          <w:sz w:val="24"/>
          <w:szCs w:val="24"/>
          <w:lang w:val="es-ES_tradnl"/>
        </w:rPr>
        <w:t>consolida</w:t>
      </w:r>
      <w:r w:rsidRPr="00EC6BC5">
        <w:rPr>
          <w:rFonts w:ascii="Arial" w:hAnsi="Arial" w:cs="Arial"/>
          <w:bCs/>
          <w:color w:val="000000"/>
          <w:sz w:val="24"/>
          <w:szCs w:val="24"/>
          <w:lang w:val="es-ES_tradnl"/>
        </w:rPr>
        <w:t xml:space="preserve"> al 10% la reserva para personas con discapacidad, 26.886 plazas, de las que 538 serán para personas con discapacidad intelectual.</w:t>
      </w:r>
    </w:p>
    <w:p w14:paraId="459C7220" w14:textId="77777777"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030DCC">
        <w:rPr>
          <w:rFonts w:ascii="Arial" w:hAnsi="Arial" w:cs="Arial"/>
          <w:b/>
          <w:bCs/>
          <w:sz w:val="24"/>
          <w:szCs w:val="24"/>
        </w:rPr>
        <w:t>Real Decreto 370/2026, de 6 de mayo, por el que se regula la concesión directa por el Servicio Público de Empleo Estatal de subvenciones en el ámbito del empleo y de la formación en el trabajo, para el ejercicio presupuestario 2026. Estas subvenciones respaldan programas como TándEM, el de primera experiencia profesional en las administraciones públicas y el programa Investigo, con un presupuesto total de 16,8 millones de euros.</w:t>
      </w:r>
    </w:p>
    <w:p w14:paraId="1DD30487" w14:textId="77777777"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030DCC">
        <w:rPr>
          <w:rFonts w:ascii="Arial" w:hAnsi="Arial" w:cs="Arial"/>
          <w:b/>
          <w:color w:val="000000"/>
          <w:sz w:val="24"/>
          <w:szCs w:val="24"/>
          <w:lang w:val="es-ES_tradnl"/>
        </w:rPr>
        <w:t xml:space="preserve">Real Decreto 240/2026, de 25 de marzo, por el que se modifica el Real Decreto 789/2022, de 27 de septiembre, por el que se regula la compatibilidad del Ingreso Mínimo Vital con los ingresos procedentes de rentas del trabajo o de la actividad económica por cuenta propia con el fin de mejorar las oportunidades reales de inclusión social y laboral de las personas beneficiarias de la prestación. </w:t>
      </w:r>
      <w:r w:rsidRPr="00030DCC">
        <w:rPr>
          <w:rFonts w:ascii="Arial" w:hAnsi="Arial" w:cs="Arial"/>
          <w:bCs/>
          <w:color w:val="000000"/>
          <w:sz w:val="24"/>
          <w:szCs w:val="24"/>
          <w:lang w:val="es-ES_tradnl"/>
        </w:rPr>
        <w:t>Se refuerza el ingreso mínimo vital no solo como ayuda económica, sino como herramienta para integrar laboralmente a personas vulnerables.</w:t>
      </w:r>
    </w:p>
    <w:p w14:paraId="43616CC9" w14:textId="77777777" w:rsidR="00030DCC" w:rsidRP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030DCC">
        <w:rPr>
          <w:rFonts w:ascii="Arial" w:hAnsi="Arial" w:cs="Arial"/>
          <w:b/>
          <w:color w:val="000000"/>
          <w:sz w:val="24"/>
          <w:szCs w:val="24"/>
          <w:lang w:val="es-ES_tradnl"/>
        </w:rPr>
        <w:t>Real Decreto 126/2026, de 18 de febrero, por el que se fija el salario mínimo interprofesional para 2026. Se establece el nuevo salario mínimo interprofesional para 2026, fijando su cuantía con un incremento del 3,1 %.</w:t>
      </w:r>
    </w:p>
    <w:p w14:paraId="0B972846" w14:textId="77777777" w:rsidR="00030DCC" w:rsidRPr="0042160A" w:rsidRDefault="00030DCC" w:rsidP="00433A3F">
      <w:pPr>
        <w:spacing w:after="160" w:line="259" w:lineRule="auto"/>
        <w:ind w:firstLine="360"/>
        <w:jc w:val="both"/>
        <w:rPr>
          <w:rFonts w:ascii="Arial" w:hAnsi="Arial" w:cs="Arial"/>
          <w:bCs/>
          <w:color w:val="000000"/>
          <w:sz w:val="24"/>
          <w:szCs w:val="24"/>
          <w:lang w:val="es-ES_tradnl"/>
        </w:rPr>
      </w:pPr>
      <w:r w:rsidRPr="0042160A">
        <w:rPr>
          <w:rFonts w:ascii="Arial" w:hAnsi="Arial" w:cs="Arial"/>
          <w:bCs/>
          <w:color w:val="000000"/>
          <w:sz w:val="24"/>
          <w:szCs w:val="24"/>
          <w:lang w:val="es-ES_tradnl"/>
        </w:rPr>
        <w:t>A nivel autonómico destacar en:</w:t>
      </w:r>
    </w:p>
    <w:p w14:paraId="40F0C352" w14:textId="77777777"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GALICIA: Decreto 35/2026, de 27 de abril, por el que se aprueba la oferta de empleo público correspondiente a plazas de personal funcionario y laboral de la Administración general y de las entidades instrumentales del sector público autonómico de la Comunidad Autónoma de Galicia para el año 2026. Se especifica un cupo del 2,05 % para discapacidad intelectual y un 10,45 % para otras discapacidades.</w:t>
      </w:r>
    </w:p>
    <w:p w14:paraId="6F81FBF9" w14:textId="77777777" w:rsidR="00D511B7" w:rsidRPr="00D511B7" w:rsidRDefault="00D511B7" w:rsidP="00433A3F">
      <w:pPr>
        <w:numPr>
          <w:ilvl w:val="1"/>
          <w:numId w:val="26"/>
        </w:numPr>
        <w:jc w:val="both"/>
        <w:rPr>
          <w:rFonts w:ascii="Arial" w:hAnsi="Arial" w:cs="Arial"/>
          <w:b/>
          <w:color w:val="000000"/>
          <w:sz w:val="24"/>
          <w:szCs w:val="24"/>
          <w:lang w:val="es-ES_tradnl"/>
        </w:rPr>
      </w:pPr>
      <w:r w:rsidRPr="00D511B7">
        <w:rPr>
          <w:rFonts w:ascii="Arial" w:hAnsi="Arial" w:cs="Arial"/>
          <w:b/>
          <w:color w:val="000000"/>
          <w:sz w:val="24"/>
          <w:szCs w:val="24"/>
          <w:lang w:val="es-ES_tradnl"/>
        </w:rPr>
        <w:t xml:space="preserve">ARAGÓN: RESOLUCIÓN de 3 de junio de 2026, del Director General de la Función Pública, por la que se aprueba la bolsa de empleo derivada del correspondiente proceso selectivo de nuevo ingreso, por el turno independiente de personas con discapacidad intelectual, para ingreso </w:t>
      </w:r>
      <w:r w:rsidRPr="00D511B7">
        <w:rPr>
          <w:rFonts w:ascii="Arial" w:hAnsi="Arial" w:cs="Arial"/>
          <w:b/>
          <w:color w:val="000000"/>
          <w:sz w:val="24"/>
          <w:szCs w:val="24"/>
          <w:lang w:val="es-ES_tradnl"/>
        </w:rPr>
        <w:lastRenderedPageBreak/>
        <w:t>como personal laboral fijo de la categoría profesional de Peón Especializado Agrario de la Administración de la Comunidad Autónoma de Aragón.</w:t>
      </w:r>
    </w:p>
    <w:p w14:paraId="68AC81D5"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030DCC">
        <w:rPr>
          <w:rFonts w:ascii="Arial" w:hAnsi="Arial" w:cs="Arial"/>
          <w:b/>
          <w:color w:val="000000"/>
          <w:sz w:val="24"/>
          <w:szCs w:val="24"/>
          <w:lang w:val="es-ES_tradnl"/>
        </w:rPr>
        <w:t>ARAGÓN: Orden ECE/846/2026, de 28 de mayo, por la que se convocan para el año 2026 las subvenciones previstas en la Orden EMC/545/2025, de 15 de mayo, por la que se establecen las bases reguladoras para la concesión de subvenciones para el programa de empleo con apoyo como medida de fomento de empleo de personas con discapacidad en el mercado ordinario de trabajo.</w:t>
      </w:r>
    </w:p>
    <w:p w14:paraId="3CFDA451" w14:textId="77777777" w:rsidR="00030DCC"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COMUNIDAD DE MADRID: Extracto de la Orden de 23 de abril de 2026, de la Consejera de Economía, Hacienda y Empleo, por la que se convocan, para el año 2026, subvenciones para la integración laboral de personas en riesgo o situación de exclusión social mediante itinerarios de inserción, en colaboración con entidades sin ánimo de lucro.</w:t>
      </w:r>
    </w:p>
    <w:p w14:paraId="69958C64" w14:textId="77777777" w:rsidR="00D511B7" w:rsidRPr="0042160A" w:rsidRDefault="00D511B7" w:rsidP="00433A3F">
      <w:pPr>
        <w:numPr>
          <w:ilvl w:val="1"/>
          <w:numId w:val="26"/>
        </w:numPr>
        <w:spacing w:after="160" w:line="259" w:lineRule="auto"/>
        <w:jc w:val="both"/>
        <w:rPr>
          <w:rFonts w:ascii="Arial" w:hAnsi="Arial" w:cs="Arial"/>
          <w:b/>
          <w:color w:val="000000"/>
          <w:sz w:val="24"/>
          <w:szCs w:val="24"/>
          <w:lang w:val="es-ES_tradnl"/>
        </w:rPr>
      </w:pPr>
      <w:r>
        <w:rPr>
          <w:rFonts w:ascii="Arial" w:hAnsi="Arial" w:cs="Arial"/>
          <w:b/>
          <w:color w:val="000000"/>
          <w:sz w:val="24"/>
          <w:szCs w:val="24"/>
          <w:lang w:val="es-ES_tradnl"/>
        </w:rPr>
        <w:t>ARAGÓN:</w:t>
      </w:r>
      <w:r w:rsidRPr="00D511B7">
        <w:t xml:space="preserve"> </w:t>
      </w:r>
      <w:r w:rsidRPr="00D511B7">
        <w:rPr>
          <w:rFonts w:ascii="Arial" w:hAnsi="Arial" w:cs="Arial"/>
          <w:b/>
          <w:color w:val="000000"/>
          <w:sz w:val="24"/>
          <w:szCs w:val="24"/>
          <w:lang w:val="es-ES_tradnl"/>
        </w:rPr>
        <w:t>Resolución de 29 de mayo de 2026, del Director General de la Función Pública, por la que se aprueba la bolsa de empleo derivada del correspondiente proceso selectivo de nuevo ingreso, por el turno independiente de personas con discapacidad intelectual, para ingreso como personal laboral fijo de la categoría profesional de Personal de Servicios Auxiliares de la Administración de la Comunidad Autónoma de Aragón.</w:t>
      </w:r>
    </w:p>
    <w:p w14:paraId="2937D7C8"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COMUNIDAD VALENCIANA: Resolución de 8 de mayo de 2026, de la Dirección General, por la que se convocan las subvenciones públicas destinadas al fomento del empleo de personas con discapacidad en centros especiales de empleo(CEE) para el ejercicio 2026.</w:t>
      </w:r>
    </w:p>
    <w:p w14:paraId="5E5DEC5F"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CATALUÑA: Resolución EMT/890/2026, de 20 de marzo, por la que se hace pública la convocatoria de subvenciones del año 2026 para el apoyo a los puestos de trabajo ocupados por personas con discapacidad afectadas por envejecimiento prematuro en centros especiales de empleo.</w:t>
      </w:r>
    </w:p>
    <w:p w14:paraId="5441D4BF"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ARAGÓN: Resolución de 11 de marzo de 2026, del Director General de la Función Pública, por la que se aprueba la lista de espera derivada del correspondiente proceso selectivo para ingreso, por turno independiente para personas con discapacidad, en el Cuerpo Ejecutivo de la Administración de la Comunidad Autónoma de Aragón, Escala General Administrativa, Administrativos</w:t>
      </w:r>
    </w:p>
    <w:p w14:paraId="7C8B943A"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 xml:space="preserve">ANDALUCÍA: Resolución de 11 de marzo de 2026, de la Dirección General de Incentivos para el Empleo y Competitividad Empresarial, por la que se convoca, para el año 2026, la concesión de subvenciones reguladas en la Orden de 9 de diciembre de 2025, por la que se aprueban las bases reguladoras para la concesión de subvenciones, en régimen </w:t>
      </w:r>
      <w:r w:rsidRPr="0042160A">
        <w:rPr>
          <w:rFonts w:ascii="Arial" w:hAnsi="Arial" w:cs="Arial"/>
          <w:b/>
          <w:color w:val="000000"/>
          <w:sz w:val="24"/>
          <w:szCs w:val="24"/>
          <w:lang w:val="es-ES_tradnl"/>
        </w:rPr>
        <w:lastRenderedPageBreak/>
        <w:t>de concurrencia no competitiva, destinadas al empleo con apoyo como medida de inserción laboral de personas con discapacidad en el mercado ordinario de trabajo.</w:t>
      </w:r>
    </w:p>
    <w:p w14:paraId="11C2640B" w14:textId="77777777" w:rsidR="00030DCC" w:rsidRPr="0042160A" w:rsidRDefault="00030DCC" w:rsidP="00433A3F">
      <w:pPr>
        <w:numPr>
          <w:ilvl w:val="1"/>
          <w:numId w:val="26"/>
        </w:numPr>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ISLAS BALEARES: Resolución de la consejera de Trabajo, Función Pública y Diálogo Social por la que se aprueba la convocatoria informativa para conceder ayudas destinadas a la integración laboral de personas con discapacidad en centros especiales de empleo mediante proyectos que generen empleo estable para el año 2026.</w:t>
      </w:r>
    </w:p>
    <w:p w14:paraId="6984ADEB" w14:textId="77777777" w:rsidR="0042160A" w:rsidRPr="0042160A" w:rsidRDefault="0042160A" w:rsidP="00433A3F">
      <w:pPr>
        <w:spacing w:after="160" w:line="259" w:lineRule="auto"/>
        <w:ind w:left="390"/>
        <w:jc w:val="both"/>
        <w:rPr>
          <w:rFonts w:ascii="Arial" w:hAnsi="Arial" w:cs="Arial"/>
          <w:b/>
          <w:color w:val="000000"/>
          <w:sz w:val="24"/>
          <w:szCs w:val="24"/>
          <w:lang w:val="es-ES_tradnl"/>
        </w:rPr>
      </w:pPr>
    </w:p>
    <w:p w14:paraId="22110BDB" w14:textId="77777777" w:rsidR="00582600" w:rsidRPr="0042160A" w:rsidRDefault="0072249E"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42160A">
        <w:rPr>
          <w:rFonts w:ascii="Arial" w:hAnsi="Arial" w:cs="Arial"/>
          <w:b/>
          <w:color w:val="000000"/>
          <w:sz w:val="24"/>
          <w:szCs w:val="24"/>
          <w:lang w:val="es-ES_tradnl"/>
        </w:rPr>
        <w:t>EDUCACIÓN Y FORMACIÓN</w:t>
      </w:r>
    </w:p>
    <w:p w14:paraId="0300913A" w14:textId="77777777" w:rsidR="00582600" w:rsidRPr="0042160A"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t>Real Decreto 402/2026, de 20 de mayo, por el que se aprueban los Estatutos del Consejo General de Colegios Oficiales de Educadoras y Educadores Sociales. Se incluyen entre las funciones de la educación social el apoyo a la inclusión y participación de personas con discapacidad y otros colectivos en situación de vulnerabilidad</w:t>
      </w:r>
      <w:r w:rsidRPr="0042160A">
        <w:rPr>
          <w:rFonts w:ascii="Arial" w:hAnsi="Arial" w:cs="Arial"/>
          <w:sz w:val="24"/>
          <w:szCs w:val="24"/>
        </w:rPr>
        <w:t>.</w:t>
      </w:r>
    </w:p>
    <w:p w14:paraId="47D0082E" w14:textId="77777777" w:rsidR="00582600"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t xml:space="preserve">Real Decreto 179/2026, de 11 de marzo, por el que se establecen los umbrales de renta y patrimonio familiar y las cuantías de las becas y ayudas al estudio para el curso 2026-2027, y se modifica el Real Decreto 1721/2007, de 21 de diciembre, por el que se establece el régimen de las becas y ayudas al estudio personalizadas. </w:t>
      </w:r>
      <w:r w:rsidRPr="0042160A">
        <w:rPr>
          <w:rFonts w:ascii="Arial" w:hAnsi="Arial" w:cs="Arial"/>
          <w:sz w:val="24"/>
          <w:szCs w:val="24"/>
        </w:rPr>
        <w:t>Las becas y ayudas al estudio contempladas refuerzan el apoyo económico a estudiantes con menos recursos y en situaciones de vulnerabilidad.</w:t>
      </w:r>
    </w:p>
    <w:p w14:paraId="12D6A9B4" w14:textId="77777777" w:rsidR="00624794" w:rsidRPr="00624794" w:rsidRDefault="00624794" w:rsidP="00433A3F">
      <w:pPr>
        <w:pStyle w:val="Prrafodelista"/>
        <w:numPr>
          <w:ilvl w:val="1"/>
          <w:numId w:val="21"/>
        </w:numPr>
        <w:jc w:val="both"/>
        <w:rPr>
          <w:rFonts w:ascii="Arial" w:hAnsi="Arial" w:cs="Arial"/>
          <w:b/>
          <w:bCs/>
          <w:sz w:val="24"/>
          <w:szCs w:val="24"/>
        </w:rPr>
      </w:pPr>
      <w:r w:rsidRPr="00624794">
        <w:rPr>
          <w:rFonts w:ascii="Arial" w:hAnsi="Arial" w:cs="Arial"/>
          <w:b/>
          <w:bCs/>
          <w:sz w:val="24"/>
          <w:szCs w:val="24"/>
        </w:rPr>
        <w:t>Orden EFD/599/2026, de 4 de junio, por la que se establecen las bases para la compensación a la Universidad Nacional de Educación a Distancia y a la Universidad Internacional Menéndez Pelayo, por los precios públicos dejados de percibir como consecuencia de determinadas exenciones y bonificaciones a que tiene derecho el alumnado en ellas matriculado.</w:t>
      </w:r>
    </w:p>
    <w:p w14:paraId="50391277" w14:textId="77777777" w:rsidR="00582600" w:rsidRPr="0042160A" w:rsidRDefault="00582600" w:rsidP="00433A3F">
      <w:pPr>
        <w:pStyle w:val="Prrafodelista"/>
        <w:numPr>
          <w:ilvl w:val="1"/>
          <w:numId w:val="21"/>
        </w:numPr>
        <w:jc w:val="both"/>
        <w:rPr>
          <w:rFonts w:ascii="Arial" w:hAnsi="Arial" w:cs="Arial"/>
          <w:b/>
          <w:bCs/>
          <w:sz w:val="24"/>
          <w:szCs w:val="24"/>
        </w:rPr>
      </w:pPr>
      <w:r w:rsidRPr="0042160A">
        <w:rPr>
          <w:rFonts w:ascii="Arial" w:hAnsi="Arial" w:cs="Arial"/>
          <w:b/>
          <w:bCs/>
          <w:sz w:val="24"/>
          <w:szCs w:val="24"/>
        </w:rPr>
        <w:t>Extracto de la Resolución de la Secretaría de Estado de Educación, de fecha 6 de mayo de 2026, por la que se convocan ayudas para alumnos con necesidad específica de apoyo educativo para el curso académico 2026-2027. Ayudas educativas para alumnado con discapacidad y otras necesidades específicas de apoyo educativo.</w:t>
      </w:r>
    </w:p>
    <w:p w14:paraId="38864249" w14:textId="77777777" w:rsidR="00582600" w:rsidRPr="009C26E1"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t xml:space="preserve">Extracto de la Resolución de 7 de abril de 2026 de la Secretaría de Estado de Ciencia, Innovación y Universidades por la que se convocan ayudas para el desarrollo de la X edición del programa Campus Inclusivos, Campus sin Límites. </w:t>
      </w:r>
      <w:r w:rsidRPr="009C26E1">
        <w:rPr>
          <w:rFonts w:ascii="Arial" w:hAnsi="Arial" w:cs="Arial"/>
          <w:sz w:val="24"/>
          <w:szCs w:val="24"/>
        </w:rPr>
        <w:t>Los beneficiarios son estudiantes en situación de vulnerabilidad o con discapacidad, ayudas encaminadas a facilitar su acceso y participación en la universidad.</w:t>
      </w:r>
    </w:p>
    <w:p w14:paraId="11A9C94F" w14:textId="77777777" w:rsidR="00582600" w:rsidRPr="0042160A"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lastRenderedPageBreak/>
        <w:t xml:space="preserve">Extracto de la Resolución de 9 de febrero de 2026 de la Secretaría de Estado de Educación, por la que se convocan subvenciones a entidades privadas sin fines de lucro para la realización de actuaciones dirigidas a la atención del alumnado con necesidad específica de apoyo educativo y a la compensación de desigualdades en educación durante el curso escolar 2026-2027 </w:t>
      </w:r>
      <w:r w:rsidRPr="0042160A">
        <w:rPr>
          <w:rFonts w:ascii="Arial" w:hAnsi="Arial" w:cs="Arial"/>
          <w:sz w:val="24"/>
          <w:szCs w:val="24"/>
        </w:rPr>
        <w:t>Convocatoria de subvenciones por 329.760 € para entidades sin ánimo de lucro de ámbito estatal o interautonómico, destinadas a programas que apoyen al alumnado con necesidades educativas y reduzcan desigualdades en el curso 2026-2027.</w:t>
      </w:r>
    </w:p>
    <w:p w14:paraId="399C868F" w14:textId="77777777" w:rsidR="00582600" w:rsidRPr="0042160A"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t>Extracto de la Resolución de 9 de febrero de 2026 de la Secretaría de Estado de Educación, por la que se convocan subvenciones a entidades privadas sin fines de lucro para la realización de actuaciones dirigidas a favorecer la utilización de las tecnologías de la información y de la comunicación por parte del alumnado que presente necesidades educativas especiales derivadas de discapacidad durante el curso escolar 2026-2027</w:t>
      </w:r>
      <w:r w:rsidRPr="0042160A">
        <w:rPr>
          <w:rFonts w:ascii="Arial" w:hAnsi="Arial" w:cs="Arial"/>
          <w:sz w:val="24"/>
          <w:szCs w:val="24"/>
        </w:rPr>
        <w:t>.Convocatoria de subvenciones por 271.000 €.</w:t>
      </w:r>
    </w:p>
    <w:p w14:paraId="44E2F1E4" w14:textId="77777777" w:rsidR="00582600" w:rsidRPr="00EC20DE" w:rsidRDefault="00582600" w:rsidP="00433A3F">
      <w:pPr>
        <w:pStyle w:val="Prrafodelista"/>
        <w:numPr>
          <w:ilvl w:val="1"/>
          <w:numId w:val="21"/>
        </w:numPr>
        <w:jc w:val="both"/>
        <w:rPr>
          <w:rFonts w:ascii="Arial" w:hAnsi="Arial" w:cs="Arial"/>
          <w:sz w:val="24"/>
          <w:szCs w:val="24"/>
        </w:rPr>
      </w:pPr>
      <w:r w:rsidRPr="0042160A">
        <w:rPr>
          <w:rFonts w:ascii="Arial" w:hAnsi="Arial" w:cs="Arial"/>
          <w:b/>
          <w:bCs/>
          <w:sz w:val="24"/>
          <w:szCs w:val="24"/>
        </w:rPr>
        <w:t>Extracto de la Resolución de 6 de febrero de 2026 de la Secretaría de Estado de Educación, por la que se convocan subvenciones a entidades privadas sin fines de lucro para la realización de actuaciones dirigidas a la atención educativa de personas adultas que presenten necesidades educativas especiales durante el curso escolar 2026-2027</w:t>
      </w:r>
      <w:r w:rsidRPr="0042160A">
        <w:rPr>
          <w:rFonts w:ascii="Arial" w:hAnsi="Arial" w:cs="Arial"/>
          <w:sz w:val="24"/>
          <w:szCs w:val="24"/>
        </w:rPr>
        <w:t>. Convocatoria de subvenciones por 271 000 € para entidades sin ánimo de lucro de ámbito estatal o interterritorial que presenten proyectos de apoyo educativo dirigidos a personas adultas con necesidades educativas especiales durante el curso escolar 2026-2027.</w:t>
      </w:r>
    </w:p>
    <w:p w14:paraId="51669EC7" w14:textId="77777777" w:rsidR="00582600" w:rsidRPr="0042160A" w:rsidRDefault="00582600" w:rsidP="00433A3F">
      <w:pPr>
        <w:ind w:left="360"/>
        <w:jc w:val="both"/>
        <w:rPr>
          <w:rFonts w:ascii="Arial" w:hAnsi="Arial" w:cs="Arial"/>
          <w:sz w:val="24"/>
          <w:szCs w:val="24"/>
        </w:rPr>
      </w:pPr>
      <w:r w:rsidRPr="0042160A">
        <w:rPr>
          <w:rFonts w:ascii="Arial" w:hAnsi="Arial" w:cs="Arial"/>
          <w:bCs/>
          <w:sz w:val="24"/>
          <w:szCs w:val="24"/>
        </w:rPr>
        <w:t>A nivel autonómico, destacar:</w:t>
      </w:r>
    </w:p>
    <w:p w14:paraId="68E62829" w14:textId="77777777" w:rsidR="00582600" w:rsidRPr="0042160A" w:rsidRDefault="00582600" w:rsidP="00433A3F">
      <w:pPr>
        <w:numPr>
          <w:ilvl w:val="1"/>
          <w:numId w:val="21"/>
        </w:numPr>
        <w:jc w:val="both"/>
        <w:rPr>
          <w:rFonts w:ascii="Arial" w:hAnsi="Arial" w:cs="Arial"/>
          <w:sz w:val="24"/>
          <w:szCs w:val="24"/>
        </w:rPr>
      </w:pPr>
      <w:r w:rsidRPr="0042160A">
        <w:rPr>
          <w:rFonts w:ascii="Arial" w:hAnsi="Arial" w:cs="Arial"/>
          <w:b/>
          <w:bCs/>
          <w:sz w:val="24"/>
          <w:szCs w:val="24"/>
        </w:rPr>
        <w:t>ANDALUCÍA</w:t>
      </w:r>
      <w:r w:rsidRPr="0042160A">
        <w:rPr>
          <w:rFonts w:ascii="Arial" w:hAnsi="Arial" w:cs="Arial"/>
          <w:sz w:val="24"/>
          <w:szCs w:val="24"/>
        </w:rPr>
        <w:t xml:space="preserve">: </w:t>
      </w:r>
      <w:r w:rsidRPr="0042160A">
        <w:rPr>
          <w:rFonts w:ascii="Arial" w:hAnsi="Arial" w:cs="Arial"/>
          <w:b/>
          <w:bCs/>
          <w:sz w:val="24"/>
          <w:szCs w:val="24"/>
        </w:rPr>
        <w:t>Ley 1/2026, de 20 de febrero, Universitaria para Andalucía. </w:t>
      </w:r>
      <w:r w:rsidRPr="0042160A">
        <w:rPr>
          <w:rFonts w:ascii="Arial" w:hAnsi="Arial" w:cs="Arial"/>
          <w:sz w:val="24"/>
          <w:szCs w:val="24"/>
        </w:rPr>
        <w:t>Menciona expresamente a las personas con discapacidad, reforzando la accesibilidad universal, los apoyos académicos y la participación plena en la vida universitaria.</w:t>
      </w:r>
    </w:p>
    <w:p w14:paraId="609F8E00" w14:textId="77777777" w:rsidR="00582600" w:rsidRPr="0042160A" w:rsidRDefault="00582600" w:rsidP="00433A3F">
      <w:pPr>
        <w:numPr>
          <w:ilvl w:val="1"/>
          <w:numId w:val="21"/>
        </w:numPr>
        <w:jc w:val="both"/>
        <w:rPr>
          <w:rFonts w:ascii="Arial" w:hAnsi="Arial" w:cs="Arial"/>
          <w:sz w:val="24"/>
          <w:szCs w:val="24"/>
        </w:rPr>
      </w:pPr>
      <w:r w:rsidRPr="0042160A">
        <w:rPr>
          <w:rFonts w:ascii="Arial" w:hAnsi="Arial" w:cs="Arial"/>
          <w:b/>
          <w:bCs/>
          <w:sz w:val="24"/>
          <w:szCs w:val="24"/>
        </w:rPr>
        <w:t>CATALUÑA: Decreto 60/2026, de 14 de abril, por el que se aprueban las bases reguladoras del Programa de cooperación financiera específica para la realización de obras de reforma, adecuación y mejora (RAM) de centros educativos públicos.</w:t>
      </w:r>
      <w:r w:rsidRPr="0042160A">
        <w:rPr>
          <w:rFonts w:ascii="Arial" w:hAnsi="Arial" w:cs="Arial"/>
          <w:sz w:val="24"/>
          <w:szCs w:val="24"/>
        </w:rPr>
        <w:t xml:space="preserve"> Aprueba un programa de 100 millones de euros para la reforma de centros educativos públicos en Cataluña, incluyendo los centros de educación especial.</w:t>
      </w:r>
    </w:p>
    <w:p w14:paraId="64177F6C" w14:textId="77777777" w:rsidR="00582600" w:rsidRPr="0042160A" w:rsidRDefault="00582600" w:rsidP="00433A3F">
      <w:pPr>
        <w:numPr>
          <w:ilvl w:val="1"/>
          <w:numId w:val="21"/>
        </w:numPr>
        <w:jc w:val="both"/>
        <w:rPr>
          <w:rFonts w:ascii="Arial" w:hAnsi="Arial" w:cs="Arial"/>
          <w:sz w:val="24"/>
          <w:szCs w:val="24"/>
        </w:rPr>
      </w:pPr>
      <w:r w:rsidRPr="0042160A">
        <w:rPr>
          <w:rFonts w:ascii="Arial" w:hAnsi="Arial" w:cs="Arial"/>
          <w:b/>
          <w:bCs/>
          <w:sz w:val="24"/>
          <w:szCs w:val="24"/>
        </w:rPr>
        <w:t>CASTILLA-LA MANCHA</w:t>
      </w:r>
      <w:r w:rsidRPr="0042160A">
        <w:rPr>
          <w:rFonts w:ascii="Arial" w:hAnsi="Arial" w:cs="Arial"/>
          <w:sz w:val="24"/>
          <w:szCs w:val="24"/>
        </w:rPr>
        <w:t>:</w:t>
      </w:r>
      <w:r w:rsidRPr="0042160A">
        <w:rPr>
          <w:rFonts w:ascii="Arial" w:hAnsi="Arial" w:cs="Arial"/>
          <w:b/>
          <w:bCs/>
          <w:sz w:val="24"/>
          <w:szCs w:val="24"/>
        </w:rPr>
        <w:t xml:space="preserve"> Decreto 9/2026, de 17 de marzo, por el que se modifica el Decreto 35/2025, de 6 de mayo, por el que se aprueban las bases reguladoras de la concesión directa de las ayudas de </w:t>
      </w:r>
      <w:r w:rsidRPr="0042160A">
        <w:rPr>
          <w:rFonts w:ascii="Arial" w:hAnsi="Arial" w:cs="Arial"/>
          <w:b/>
          <w:bCs/>
          <w:sz w:val="24"/>
          <w:szCs w:val="24"/>
        </w:rPr>
        <w:lastRenderedPageBreak/>
        <w:t>transporte y comedor dirigidas a centros privados concertados de educación especial y al alumnado de los mismos.</w:t>
      </w:r>
    </w:p>
    <w:p w14:paraId="748041E0" w14:textId="77777777" w:rsidR="00582600" w:rsidRPr="0042160A" w:rsidRDefault="00582600" w:rsidP="00433A3F">
      <w:pPr>
        <w:numPr>
          <w:ilvl w:val="1"/>
          <w:numId w:val="21"/>
        </w:numPr>
        <w:jc w:val="both"/>
        <w:rPr>
          <w:rFonts w:ascii="Arial" w:hAnsi="Arial" w:cs="Arial"/>
          <w:sz w:val="24"/>
          <w:szCs w:val="24"/>
        </w:rPr>
      </w:pPr>
      <w:r w:rsidRPr="0042160A">
        <w:rPr>
          <w:rFonts w:ascii="Arial" w:hAnsi="Arial" w:cs="Arial"/>
          <w:b/>
          <w:bCs/>
          <w:sz w:val="24"/>
          <w:szCs w:val="24"/>
        </w:rPr>
        <w:t>LA RIOJA: Resolución 21/2026, de 29 de abril, de la Dirección General de Innovación y Ordenación Educativa, por la que se aprueban las instrucciones que regulan la organización y el funcionamiento de los centros educativos que imparten enseñanzas de Educación Infantil, Educación Primaria, Educación Secundaria Obligatoria y Bachillerato en la Comunidad Autónoma de La Rioja, durante el curso 2026/2027.</w:t>
      </w:r>
      <w:r w:rsidRPr="0042160A">
        <w:rPr>
          <w:rFonts w:ascii="Arial" w:hAnsi="Arial" w:cs="Arial"/>
          <w:sz w:val="24"/>
          <w:szCs w:val="24"/>
        </w:rPr>
        <w:t xml:space="preserve">Regula aspectos críticos como los Ajustes de Accesibilidad al Currículo (AAC), la atención a alumnos con necesidades educativas especiales (NEE). </w:t>
      </w:r>
    </w:p>
    <w:p w14:paraId="776C20F0" w14:textId="77777777" w:rsidR="00404583" w:rsidRPr="0042160A" w:rsidRDefault="00404583" w:rsidP="00433A3F">
      <w:pPr>
        <w:numPr>
          <w:ilvl w:val="1"/>
          <w:numId w:val="21"/>
        </w:numPr>
        <w:jc w:val="both"/>
        <w:rPr>
          <w:rFonts w:ascii="Arial" w:hAnsi="Arial" w:cs="Arial"/>
          <w:sz w:val="24"/>
          <w:szCs w:val="24"/>
        </w:rPr>
      </w:pPr>
      <w:r w:rsidRPr="0042160A">
        <w:rPr>
          <w:rFonts w:ascii="Arial" w:hAnsi="Arial" w:cs="Arial"/>
          <w:b/>
          <w:bCs/>
          <w:sz w:val="24"/>
          <w:szCs w:val="24"/>
        </w:rPr>
        <w:t>COMUNIDAD VALENCIANA: Extracto de la Resolución de 14 de marzo de 2026, del Rectorado, por la cual se convoca el programa de becas de prácticas «Fundación ONCE-CRUE» para universitarios y universitarias con discapacidad.</w:t>
      </w:r>
    </w:p>
    <w:p w14:paraId="0A388D0E" w14:textId="77777777" w:rsidR="00582600" w:rsidRPr="00EC20DE" w:rsidRDefault="00582600" w:rsidP="00433A3F">
      <w:pPr>
        <w:numPr>
          <w:ilvl w:val="1"/>
          <w:numId w:val="21"/>
        </w:numPr>
        <w:jc w:val="both"/>
        <w:rPr>
          <w:rFonts w:ascii="Arial" w:hAnsi="Arial" w:cs="Arial"/>
          <w:sz w:val="24"/>
          <w:szCs w:val="24"/>
        </w:rPr>
      </w:pPr>
      <w:r w:rsidRPr="0042160A">
        <w:rPr>
          <w:rFonts w:ascii="Arial" w:hAnsi="Arial" w:cs="Arial"/>
          <w:b/>
          <w:bCs/>
          <w:sz w:val="24"/>
          <w:szCs w:val="24"/>
        </w:rPr>
        <w:t>CEUTA Y MELILLA</w:t>
      </w:r>
      <w:r w:rsidRPr="0042160A">
        <w:rPr>
          <w:rFonts w:ascii="Arial" w:hAnsi="Arial" w:cs="Arial"/>
          <w:sz w:val="24"/>
          <w:szCs w:val="24"/>
        </w:rPr>
        <w:t xml:space="preserve">: </w:t>
      </w:r>
      <w:r w:rsidRPr="0042160A">
        <w:rPr>
          <w:rFonts w:ascii="Arial" w:hAnsi="Arial" w:cs="Arial"/>
          <w:b/>
          <w:bCs/>
          <w:sz w:val="24"/>
          <w:szCs w:val="24"/>
        </w:rPr>
        <w:t>Extracto de la Resolución 9 de febrero de 2026 de la Secretaría de Estado de Educación, por la que se convocan subvenciones a entidades privadas sin fines de lucro para la realización de determinadas actuaciones dirigidas a la atención del alumnado con necesidad específica de apoyo educativo y a la compensación de desigualdades en educación en Ceuta y Melilla, durante el curso escolar 2026-2027</w:t>
      </w:r>
      <w:r w:rsidRPr="0042160A">
        <w:rPr>
          <w:rFonts w:ascii="Arial" w:hAnsi="Arial" w:cs="Arial"/>
          <w:sz w:val="24"/>
          <w:szCs w:val="24"/>
        </w:rPr>
        <w:t>.Convocatoria de subvenciones por 80</w:t>
      </w:r>
      <w:r w:rsidR="0042160A" w:rsidRPr="0042160A">
        <w:rPr>
          <w:rFonts w:ascii="Arial" w:hAnsi="Arial" w:cs="Arial"/>
          <w:sz w:val="24"/>
          <w:szCs w:val="24"/>
        </w:rPr>
        <w:t>.</w:t>
      </w:r>
      <w:r w:rsidRPr="0042160A">
        <w:rPr>
          <w:rFonts w:ascii="Arial" w:hAnsi="Arial" w:cs="Arial"/>
          <w:sz w:val="24"/>
          <w:szCs w:val="24"/>
        </w:rPr>
        <w:t>000 € para entidades privadas sin ánimo de lucro. </w:t>
      </w:r>
    </w:p>
    <w:p w14:paraId="3687FAEC" w14:textId="77777777" w:rsidR="0042160A" w:rsidRPr="0042160A" w:rsidRDefault="0042160A" w:rsidP="00433A3F">
      <w:pPr>
        <w:spacing w:after="160" w:line="259" w:lineRule="auto"/>
        <w:jc w:val="both"/>
        <w:rPr>
          <w:rFonts w:ascii="Arial" w:hAnsi="Arial" w:cs="Arial"/>
          <w:b/>
          <w:color w:val="000000"/>
          <w:sz w:val="24"/>
          <w:szCs w:val="24"/>
          <w:lang w:val="es-ES_tradnl"/>
        </w:rPr>
      </w:pPr>
    </w:p>
    <w:p w14:paraId="19B2095A" w14:textId="77777777" w:rsidR="0034254D" w:rsidRPr="0042160A" w:rsidRDefault="0034254D" w:rsidP="00433A3F">
      <w:pPr>
        <w:pStyle w:val="Prrafodelista"/>
        <w:numPr>
          <w:ilvl w:val="0"/>
          <w:numId w:val="5"/>
        </w:numPr>
        <w:jc w:val="both"/>
        <w:rPr>
          <w:rFonts w:ascii="Arial" w:hAnsi="Arial" w:cs="Arial"/>
          <w:b/>
          <w:bCs/>
          <w:vanish/>
          <w:color w:val="000000"/>
          <w:sz w:val="24"/>
          <w:szCs w:val="24"/>
          <w:highlight w:val="yellow"/>
        </w:rPr>
      </w:pPr>
    </w:p>
    <w:p w14:paraId="5E1D7E76" w14:textId="77777777" w:rsidR="0034254D" w:rsidRPr="0042160A" w:rsidRDefault="0034254D" w:rsidP="00433A3F">
      <w:pPr>
        <w:pStyle w:val="Prrafodelista"/>
        <w:numPr>
          <w:ilvl w:val="0"/>
          <w:numId w:val="5"/>
        </w:numPr>
        <w:jc w:val="both"/>
        <w:rPr>
          <w:rFonts w:ascii="Arial" w:hAnsi="Arial" w:cs="Arial"/>
          <w:b/>
          <w:bCs/>
          <w:vanish/>
          <w:color w:val="000000"/>
          <w:sz w:val="24"/>
          <w:szCs w:val="24"/>
          <w:highlight w:val="yellow"/>
        </w:rPr>
      </w:pPr>
    </w:p>
    <w:p w14:paraId="2C895A9F" w14:textId="77777777" w:rsidR="0034254D" w:rsidRPr="0042160A" w:rsidRDefault="0034254D" w:rsidP="00433A3F">
      <w:pPr>
        <w:pStyle w:val="Prrafodelista"/>
        <w:numPr>
          <w:ilvl w:val="0"/>
          <w:numId w:val="5"/>
        </w:numPr>
        <w:jc w:val="both"/>
        <w:rPr>
          <w:rFonts w:ascii="Arial" w:hAnsi="Arial" w:cs="Arial"/>
          <w:b/>
          <w:bCs/>
          <w:vanish/>
          <w:color w:val="000000"/>
          <w:sz w:val="24"/>
          <w:szCs w:val="24"/>
          <w:highlight w:val="yellow"/>
        </w:rPr>
      </w:pPr>
    </w:p>
    <w:p w14:paraId="2C6652DD" w14:textId="77777777" w:rsidR="0034254D" w:rsidRPr="0042160A" w:rsidRDefault="0034254D" w:rsidP="00433A3F">
      <w:pPr>
        <w:pStyle w:val="Prrafodelista"/>
        <w:numPr>
          <w:ilvl w:val="0"/>
          <w:numId w:val="5"/>
        </w:numPr>
        <w:jc w:val="both"/>
        <w:rPr>
          <w:rFonts w:ascii="Arial" w:hAnsi="Arial" w:cs="Arial"/>
          <w:b/>
          <w:bCs/>
          <w:vanish/>
          <w:color w:val="000000"/>
          <w:sz w:val="24"/>
          <w:szCs w:val="24"/>
          <w:highlight w:val="yellow"/>
        </w:rPr>
      </w:pPr>
    </w:p>
    <w:p w14:paraId="6C85BE9A" w14:textId="77777777" w:rsidR="002235B0" w:rsidRPr="0042160A" w:rsidRDefault="002235B0" w:rsidP="00433A3F">
      <w:pPr>
        <w:pStyle w:val="Prrafodelista"/>
        <w:numPr>
          <w:ilvl w:val="0"/>
          <w:numId w:val="5"/>
        </w:numPr>
        <w:jc w:val="both"/>
        <w:rPr>
          <w:rFonts w:ascii="Arial" w:hAnsi="Arial" w:cs="Arial"/>
          <w:b/>
          <w:vanish/>
          <w:color w:val="000000"/>
          <w:sz w:val="24"/>
          <w:szCs w:val="24"/>
          <w:highlight w:val="yellow"/>
        </w:rPr>
      </w:pPr>
    </w:p>
    <w:p w14:paraId="61EDFD60" w14:textId="77777777" w:rsidR="00BC38FB" w:rsidRPr="0042160A" w:rsidRDefault="00BC38FB" w:rsidP="00433A3F">
      <w:pPr>
        <w:pStyle w:val="Prrafodelista"/>
        <w:spacing w:after="160" w:line="259" w:lineRule="auto"/>
        <w:ind w:left="0"/>
        <w:jc w:val="both"/>
        <w:rPr>
          <w:rFonts w:ascii="Arial" w:hAnsi="Arial" w:cs="Arial"/>
          <w:b/>
          <w:bCs/>
          <w:vanish/>
          <w:color w:val="000000"/>
          <w:sz w:val="24"/>
          <w:szCs w:val="24"/>
        </w:rPr>
      </w:pPr>
    </w:p>
    <w:p w14:paraId="021E2737" w14:textId="77777777" w:rsidR="00923C4F" w:rsidRPr="00597D88" w:rsidRDefault="00923C4F" w:rsidP="00433A3F">
      <w:pPr>
        <w:numPr>
          <w:ilvl w:val="0"/>
          <w:numId w:val="2"/>
        </w:numPr>
        <w:shd w:val="clear" w:color="auto" w:fill="A5C9EB"/>
        <w:spacing w:after="160" w:line="259" w:lineRule="auto"/>
        <w:jc w:val="both"/>
        <w:rPr>
          <w:rFonts w:ascii="Arial" w:hAnsi="Arial" w:cs="Arial"/>
          <w:b/>
          <w:color w:val="000000"/>
          <w:sz w:val="24"/>
          <w:szCs w:val="24"/>
        </w:rPr>
      </w:pPr>
      <w:r w:rsidRPr="00597D88">
        <w:rPr>
          <w:rFonts w:ascii="Arial" w:hAnsi="Arial" w:cs="Arial"/>
          <w:b/>
          <w:color w:val="000000"/>
          <w:sz w:val="24"/>
          <w:szCs w:val="24"/>
          <w:lang w:val="es-ES_tradnl"/>
        </w:rPr>
        <w:t>ACCESIBILIDAD</w:t>
      </w:r>
    </w:p>
    <w:p w14:paraId="59D32C91" w14:textId="77777777" w:rsidR="00864C0D" w:rsidRPr="00864C0D" w:rsidRDefault="00612BB6" w:rsidP="00864C0D">
      <w:pPr>
        <w:numPr>
          <w:ilvl w:val="1"/>
          <w:numId w:val="9"/>
        </w:numPr>
        <w:jc w:val="both"/>
        <w:rPr>
          <w:rFonts w:ascii="Arial" w:hAnsi="Arial" w:cs="Arial"/>
          <w:sz w:val="24"/>
          <w:szCs w:val="24"/>
        </w:rPr>
      </w:pPr>
      <w:r w:rsidRPr="0042160A">
        <w:rPr>
          <w:rFonts w:ascii="Arial" w:hAnsi="Arial" w:cs="Arial"/>
          <w:b/>
          <w:bCs/>
          <w:sz w:val="24"/>
          <w:szCs w:val="24"/>
        </w:rPr>
        <w:t xml:space="preserve"> </w:t>
      </w:r>
      <w:r w:rsidR="00864C0D" w:rsidRPr="00864C0D">
        <w:rPr>
          <w:rFonts w:ascii="Arial" w:hAnsi="Arial" w:cs="Arial"/>
          <w:b/>
          <w:bCs/>
          <w:sz w:val="24"/>
          <w:szCs w:val="24"/>
        </w:rPr>
        <w:t>Real Decreto 518/2026, de 24 de junio, por el que se modifica el Reglamento General de Circulación, aprobado por Real Decreto 1428/2003, de 21 de noviembre, en materia de protección a usuarios vulnerables de la vía.</w:t>
      </w:r>
      <w:r w:rsidR="00864C0D">
        <w:rPr>
          <w:rFonts w:ascii="Arial" w:hAnsi="Arial" w:cs="Arial"/>
          <w:b/>
          <w:bCs/>
          <w:sz w:val="24"/>
          <w:szCs w:val="24"/>
        </w:rPr>
        <w:t xml:space="preserve"> </w:t>
      </w:r>
      <w:r w:rsidR="00864C0D" w:rsidRPr="00864C0D">
        <w:rPr>
          <w:rFonts w:ascii="Arial" w:hAnsi="Arial" w:cs="Arial"/>
          <w:sz w:val="24"/>
          <w:szCs w:val="24"/>
        </w:rPr>
        <w:t>Refuerza la seguridad vial con nuevas normas para vehículos de movilidad personal, ciclistas y motociclistas, incluyendo la edad mínima de conducción y el uso obligatorio de casco en determinados casos.</w:t>
      </w:r>
    </w:p>
    <w:p w14:paraId="15618A60" w14:textId="77777777" w:rsidR="0072249E" w:rsidRPr="0042160A" w:rsidRDefault="00923C4F" w:rsidP="00433A3F">
      <w:pPr>
        <w:numPr>
          <w:ilvl w:val="1"/>
          <w:numId w:val="9"/>
        </w:numPr>
        <w:jc w:val="both"/>
        <w:rPr>
          <w:rFonts w:ascii="Arial" w:hAnsi="Arial" w:cs="Arial"/>
          <w:b/>
          <w:bCs/>
          <w:sz w:val="24"/>
          <w:szCs w:val="24"/>
        </w:rPr>
      </w:pPr>
      <w:r w:rsidRPr="0042160A">
        <w:rPr>
          <w:rFonts w:ascii="Arial" w:hAnsi="Arial" w:cs="Arial"/>
          <w:b/>
          <w:bCs/>
          <w:sz w:val="24"/>
          <w:szCs w:val="24"/>
        </w:rPr>
        <w:t>Real Decreto 143/2026, de 25 de febrero, por el que se crea y regula la Unidad técnica de apoyo y coordinación de las autoridades de vigilancia en materia de requisitos de accesibilidad. Crea y regula una unidad dentro de la Dirección General de Derechos de las Personas con Discapacidad para coordinar y apoyar el control del cumplimiento de la accesibilidad en productos y servicios.</w:t>
      </w:r>
    </w:p>
    <w:p w14:paraId="5A064B3B" w14:textId="77777777" w:rsidR="00923C4F" w:rsidRPr="0042160A" w:rsidRDefault="00612BB6" w:rsidP="00433A3F">
      <w:pPr>
        <w:numPr>
          <w:ilvl w:val="1"/>
          <w:numId w:val="9"/>
        </w:numPr>
        <w:jc w:val="both"/>
        <w:rPr>
          <w:rFonts w:ascii="Arial" w:hAnsi="Arial" w:cs="Arial"/>
          <w:b/>
          <w:bCs/>
          <w:sz w:val="24"/>
          <w:szCs w:val="24"/>
        </w:rPr>
      </w:pPr>
      <w:r w:rsidRPr="0042160A">
        <w:rPr>
          <w:rFonts w:ascii="Arial" w:hAnsi="Arial" w:cs="Arial"/>
          <w:b/>
          <w:bCs/>
          <w:sz w:val="24"/>
          <w:szCs w:val="24"/>
        </w:rPr>
        <w:lastRenderedPageBreak/>
        <w:t xml:space="preserve"> </w:t>
      </w:r>
      <w:r w:rsidR="00B351E0" w:rsidRPr="0042160A">
        <w:rPr>
          <w:rFonts w:ascii="Arial" w:hAnsi="Arial" w:cs="Arial"/>
          <w:b/>
          <w:bCs/>
          <w:sz w:val="24"/>
          <w:szCs w:val="24"/>
        </w:rPr>
        <w:t xml:space="preserve">Resolución de 25 de mayo de 2026, conjunta de las Subsecretarías de Transportes y Movilidad Sostenible y de Hacienda, sobre emisión y puesta en circulación de cuatro series de sellos de correo denominadas «Valores cívicos.-2026. Artículo 49 Constitución Española, personas con discapacidad». </w:t>
      </w:r>
      <w:r w:rsidR="00B351E0" w:rsidRPr="0042160A">
        <w:rPr>
          <w:rFonts w:ascii="Arial" w:hAnsi="Arial" w:cs="Arial"/>
          <w:sz w:val="24"/>
          <w:szCs w:val="24"/>
        </w:rPr>
        <w:t>Destaca el uso de braille en el procedimiento de impresión del sello.</w:t>
      </w:r>
    </w:p>
    <w:p w14:paraId="3E8105C7" w14:textId="77777777" w:rsidR="00B351E0" w:rsidRPr="0042160A" w:rsidRDefault="00B351E0" w:rsidP="00433A3F">
      <w:pPr>
        <w:ind w:left="360"/>
        <w:jc w:val="both"/>
        <w:rPr>
          <w:rFonts w:ascii="Arial" w:hAnsi="Arial" w:cs="Arial"/>
          <w:sz w:val="24"/>
          <w:szCs w:val="24"/>
        </w:rPr>
      </w:pPr>
      <w:r w:rsidRPr="0042160A">
        <w:rPr>
          <w:rFonts w:ascii="Arial" w:hAnsi="Arial" w:cs="Arial"/>
          <w:sz w:val="24"/>
          <w:szCs w:val="24"/>
          <w:u w:val="single"/>
        </w:rPr>
        <w:t>A nivel autonómico</w:t>
      </w:r>
      <w:r w:rsidRPr="0042160A">
        <w:rPr>
          <w:rFonts w:ascii="Arial" w:hAnsi="Arial" w:cs="Arial"/>
          <w:sz w:val="24"/>
          <w:szCs w:val="24"/>
        </w:rPr>
        <w:t xml:space="preserve"> destacar en:</w:t>
      </w:r>
    </w:p>
    <w:p w14:paraId="76C779FB" w14:textId="77777777" w:rsidR="004F54FD" w:rsidRPr="0042160A" w:rsidRDefault="00B351E0" w:rsidP="00433A3F">
      <w:pPr>
        <w:numPr>
          <w:ilvl w:val="1"/>
          <w:numId w:val="9"/>
        </w:numPr>
        <w:jc w:val="both"/>
        <w:rPr>
          <w:rFonts w:ascii="Arial" w:hAnsi="Arial" w:cs="Arial"/>
          <w:b/>
          <w:bCs/>
          <w:sz w:val="24"/>
          <w:szCs w:val="24"/>
        </w:rPr>
      </w:pPr>
      <w:r w:rsidRPr="0042160A">
        <w:rPr>
          <w:rFonts w:ascii="Arial" w:hAnsi="Arial" w:cs="Arial"/>
          <w:b/>
          <w:bCs/>
          <w:sz w:val="24"/>
          <w:szCs w:val="24"/>
        </w:rPr>
        <w:t xml:space="preserve">Cataluña: Ley 4/2026, de 11 de mayo, del Instituto de la Filmoteca Nacional de Cataluña. Actualiza la normativa para que las salas de cine incluyan espacios reservados para usuarios de sillas de ruedas y adopten de forma progresiva sistemas de audiodescripción, subtitulado y bucles magnéticos mejorando la accesibilidad.  </w:t>
      </w:r>
    </w:p>
    <w:p w14:paraId="5D9F9874" w14:textId="77777777" w:rsidR="0042160A" w:rsidRPr="00EC20DE" w:rsidRDefault="00B351E0" w:rsidP="00433A3F">
      <w:pPr>
        <w:numPr>
          <w:ilvl w:val="1"/>
          <w:numId w:val="9"/>
        </w:numPr>
        <w:jc w:val="both"/>
        <w:rPr>
          <w:rFonts w:ascii="Arial" w:hAnsi="Arial" w:cs="Arial"/>
          <w:sz w:val="24"/>
          <w:szCs w:val="24"/>
        </w:rPr>
      </w:pPr>
      <w:r w:rsidRPr="0042160A">
        <w:rPr>
          <w:rFonts w:ascii="Arial" w:hAnsi="Arial" w:cs="Arial"/>
          <w:b/>
          <w:bCs/>
          <w:sz w:val="24"/>
          <w:szCs w:val="24"/>
        </w:rPr>
        <w:t xml:space="preserve">País Vasco: Decreto 63/2026, de 29 de abril, de segunda modificación del Decreto por el que se aprueba el Reglamento de desarrollo de la Ley de espectáculos públicos y actividades </w:t>
      </w:r>
      <w:r w:rsidR="00B51586" w:rsidRPr="0042160A">
        <w:rPr>
          <w:rFonts w:ascii="Arial" w:hAnsi="Arial" w:cs="Arial"/>
          <w:b/>
          <w:bCs/>
          <w:sz w:val="24"/>
          <w:szCs w:val="24"/>
        </w:rPr>
        <w:t xml:space="preserve">recreativas. </w:t>
      </w:r>
      <w:r w:rsidR="00B51586" w:rsidRPr="0042160A">
        <w:rPr>
          <w:rFonts w:ascii="Arial" w:hAnsi="Arial" w:cs="Arial"/>
          <w:sz w:val="24"/>
          <w:szCs w:val="24"/>
        </w:rPr>
        <w:t>Establece</w:t>
      </w:r>
      <w:r w:rsidRPr="0042160A">
        <w:rPr>
          <w:rFonts w:ascii="Arial" w:hAnsi="Arial" w:cs="Arial"/>
          <w:sz w:val="24"/>
          <w:szCs w:val="24"/>
        </w:rPr>
        <w:t xml:space="preserve"> la obligación de que el personal de acceso garantice entornos accesibles, inclusivos y en igualdad de condiciones para las personas con discapacidad en espacios de ocio y espectáculos. Asimismo, fija la exigencia de contar con personal habilitado para estas funciones en establecimientos como los locales de juego en el País Vasco. </w:t>
      </w:r>
    </w:p>
    <w:p w14:paraId="4EA88729" w14:textId="77777777" w:rsidR="007B01D3" w:rsidRPr="00597D88" w:rsidRDefault="007B01D3"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GÉNERO</w:t>
      </w:r>
    </w:p>
    <w:p w14:paraId="325614C0" w14:textId="77777777" w:rsidR="006A05AA" w:rsidRPr="0042160A" w:rsidRDefault="00B644C5" w:rsidP="00433A3F">
      <w:pPr>
        <w:jc w:val="both"/>
        <w:rPr>
          <w:rFonts w:ascii="Arial" w:hAnsi="Arial" w:cs="Arial"/>
          <w:sz w:val="24"/>
          <w:szCs w:val="24"/>
        </w:rPr>
      </w:pPr>
      <w:bookmarkStart w:id="0" w:name="_Hlk201215332"/>
      <w:r w:rsidRPr="0042160A">
        <w:rPr>
          <w:rFonts w:ascii="Arial" w:hAnsi="Arial" w:cs="Arial"/>
          <w:sz w:val="24"/>
          <w:szCs w:val="24"/>
        </w:rPr>
        <w:t xml:space="preserve">A </w:t>
      </w:r>
      <w:r w:rsidRPr="0042160A">
        <w:rPr>
          <w:rFonts w:ascii="Arial" w:hAnsi="Arial" w:cs="Arial"/>
          <w:sz w:val="24"/>
          <w:szCs w:val="24"/>
          <w:u w:val="single"/>
        </w:rPr>
        <w:t>nivel estatal</w:t>
      </w:r>
      <w:r w:rsidRPr="0042160A">
        <w:rPr>
          <w:rFonts w:ascii="Arial" w:hAnsi="Arial" w:cs="Arial"/>
          <w:sz w:val="24"/>
          <w:szCs w:val="24"/>
        </w:rPr>
        <w:t xml:space="preserve">, cabe señalar en este periodo la aprobación </w:t>
      </w:r>
      <w:bookmarkEnd w:id="0"/>
      <w:r w:rsidRPr="0042160A">
        <w:rPr>
          <w:rFonts w:ascii="Arial" w:hAnsi="Arial" w:cs="Arial"/>
          <w:sz w:val="24"/>
          <w:szCs w:val="24"/>
        </w:rPr>
        <w:t>de:</w:t>
      </w:r>
    </w:p>
    <w:p w14:paraId="2B66CFF6" w14:textId="77777777" w:rsidR="00612BB6" w:rsidRPr="0042160A" w:rsidRDefault="00297769" w:rsidP="00433A3F">
      <w:pPr>
        <w:numPr>
          <w:ilvl w:val="1"/>
          <w:numId w:val="10"/>
        </w:numPr>
        <w:jc w:val="both"/>
        <w:rPr>
          <w:rFonts w:ascii="Arial" w:hAnsi="Arial" w:cs="Arial"/>
          <w:b/>
          <w:bCs/>
          <w:sz w:val="24"/>
          <w:szCs w:val="24"/>
        </w:rPr>
      </w:pPr>
      <w:r w:rsidRPr="0042160A">
        <w:rPr>
          <w:rFonts w:ascii="Arial" w:hAnsi="Arial" w:cs="Arial"/>
          <w:b/>
          <w:bCs/>
          <w:sz w:val="24"/>
          <w:szCs w:val="24"/>
        </w:rPr>
        <w:t>Real Decreto 492/2026, de 17 de junio, por el que se modifica el Real Decreto 668/2025, de 22 de julio, por el que se regula la concesión directa de una subvención a la Federación Española de Municipios y Provincias para la prestación del Servicio de teleasistencia móvil a víctimas de violencia contra las mujeres (servicio ATENPRO).</w:t>
      </w:r>
    </w:p>
    <w:p w14:paraId="2244CB6A" w14:textId="77777777" w:rsidR="00612BB6" w:rsidRPr="0042160A" w:rsidRDefault="006A05AA" w:rsidP="00433A3F">
      <w:pPr>
        <w:numPr>
          <w:ilvl w:val="1"/>
          <w:numId w:val="10"/>
        </w:numPr>
        <w:jc w:val="both"/>
        <w:rPr>
          <w:rFonts w:ascii="Arial" w:hAnsi="Arial" w:cs="Arial"/>
          <w:b/>
          <w:bCs/>
          <w:sz w:val="24"/>
          <w:szCs w:val="24"/>
        </w:rPr>
      </w:pPr>
      <w:r w:rsidRPr="0042160A">
        <w:rPr>
          <w:rFonts w:ascii="Arial" w:hAnsi="Arial" w:cs="Arial"/>
          <w:b/>
          <w:bCs/>
          <w:sz w:val="24"/>
          <w:szCs w:val="24"/>
        </w:rPr>
        <w:t>Orden IGD/392/2026, de 20 de abril, por la que se modifica la Orden IGD/183/2024, de 28 de febrero, por la que se aprueban las bases reguladoras para la concesión de subvenciones públicas destinadas a proyectos de apoyo a mujeres y niñas víctimas de trata de seres humanos con fines de explotación sexual y sus hijos e hijas menores de edad o con discapacidad.</w:t>
      </w:r>
      <w:r w:rsidRPr="0042160A">
        <w:rPr>
          <w:rFonts w:ascii="Arial" w:hAnsi="Arial" w:cs="Arial"/>
          <w:sz w:val="24"/>
          <w:szCs w:val="24"/>
        </w:rPr>
        <w:t xml:space="preserve"> Actualiza los requisitos y condiciones de estas ayudas, manteniendo el enfoque en la atención a víctimas, incluidos menores y personas con discapacidad dentro de estas familias. </w:t>
      </w:r>
    </w:p>
    <w:p w14:paraId="443C5A14" w14:textId="77777777" w:rsidR="004B2F68" w:rsidRPr="0042160A" w:rsidRDefault="006A05AA" w:rsidP="00433A3F">
      <w:pPr>
        <w:numPr>
          <w:ilvl w:val="1"/>
          <w:numId w:val="10"/>
        </w:numPr>
        <w:jc w:val="both"/>
        <w:rPr>
          <w:rFonts w:ascii="Arial" w:hAnsi="Arial" w:cs="Arial"/>
          <w:b/>
          <w:bCs/>
          <w:sz w:val="24"/>
          <w:szCs w:val="24"/>
        </w:rPr>
      </w:pPr>
      <w:r w:rsidRPr="0042160A">
        <w:rPr>
          <w:rFonts w:ascii="Arial" w:hAnsi="Arial" w:cs="Arial"/>
          <w:b/>
          <w:bCs/>
          <w:sz w:val="24"/>
          <w:szCs w:val="24"/>
        </w:rPr>
        <w:t xml:space="preserve">Extracto de la Resolución de 14 de mayo de 2026 de la Secretaría de Estado de Igualdad y para la Erradicación de la Violencia contra las Mujeres, por la que se convocan subvenciones públicas destinadas a </w:t>
      </w:r>
      <w:r w:rsidRPr="0042160A">
        <w:rPr>
          <w:rFonts w:ascii="Arial" w:hAnsi="Arial" w:cs="Arial"/>
          <w:b/>
          <w:bCs/>
          <w:sz w:val="24"/>
          <w:szCs w:val="24"/>
        </w:rPr>
        <w:lastRenderedPageBreak/>
        <w:t>proyectos de apoyo a mujeres y niñas víctimas de trata de seres humanos con fines de explotación sexual y sus hijos e hijas menores o con discapacidad para el año 2026.</w:t>
      </w:r>
      <w:r w:rsidRPr="0042160A">
        <w:rPr>
          <w:rFonts w:ascii="Arial" w:hAnsi="Arial" w:cs="Arial"/>
          <w:sz w:val="24"/>
          <w:szCs w:val="24"/>
        </w:rPr>
        <w:t xml:space="preserve"> Se establecen ayudas de atención integral, acompañamiento y recuperación social dirigidas a víctimas especialmente vulnerables, incluyendo apoyo psicológico, jurídico, residencial y de inserción social. También presta especial atención a menores y personas con discapacidad dentro del entorno familiar de las víctimas.</w:t>
      </w:r>
    </w:p>
    <w:p w14:paraId="5A58906C" w14:textId="77777777" w:rsidR="0072249E" w:rsidRPr="0042160A" w:rsidRDefault="006A05AA" w:rsidP="00433A3F">
      <w:pPr>
        <w:numPr>
          <w:ilvl w:val="1"/>
          <w:numId w:val="10"/>
        </w:numPr>
        <w:jc w:val="both"/>
        <w:rPr>
          <w:rFonts w:ascii="Arial" w:hAnsi="Arial" w:cs="Arial"/>
          <w:b/>
          <w:bCs/>
          <w:sz w:val="24"/>
          <w:szCs w:val="24"/>
        </w:rPr>
      </w:pPr>
      <w:r w:rsidRPr="0042160A">
        <w:rPr>
          <w:rFonts w:ascii="Arial" w:hAnsi="Arial" w:cs="Arial"/>
          <w:b/>
          <w:bCs/>
          <w:sz w:val="24"/>
          <w:szCs w:val="24"/>
        </w:rPr>
        <w:t>Extracto de la Resolución de 7 de mayo de 2026 de la Dirección del Instituto de las Mujeres, por la que se convoca la concesión de subvenciones destinadas a apoyar al movimiento asociativo y fundacional de ámbito estatal 2026.</w:t>
      </w:r>
    </w:p>
    <w:p w14:paraId="12A9734D" w14:textId="77777777" w:rsidR="006A05AA" w:rsidRPr="0042160A" w:rsidRDefault="006A05AA" w:rsidP="00433A3F">
      <w:pPr>
        <w:numPr>
          <w:ilvl w:val="1"/>
          <w:numId w:val="10"/>
        </w:numPr>
        <w:jc w:val="both"/>
        <w:rPr>
          <w:rFonts w:ascii="Arial" w:hAnsi="Arial" w:cs="Arial"/>
          <w:b/>
          <w:bCs/>
          <w:sz w:val="24"/>
          <w:szCs w:val="24"/>
        </w:rPr>
      </w:pPr>
      <w:r w:rsidRPr="0042160A">
        <w:rPr>
          <w:rFonts w:ascii="Arial" w:hAnsi="Arial" w:cs="Arial"/>
          <w:b/>
          <w:bCs/>
          <w:sz w:val="24"/>
          <w:szCs w:val="24"/>
        </w:rPr>
        <w:t xml:space="preserve">Resolución de 9 de enero de 2026, de la Subsecretaría, por la que se publica el Acuerdo del Consejo de Ministros de 23 de diciembre de 2025, por el que se crea la Red de Mujeres Gitanas y se establece su organización y funcionamiento. </w:t>
      </w:r>
    </w:p>
    <w:p w14:paraId="09B91250" w14:textId="77777777" w:rsidR="00BC38FB" w:rsidRPr="0042160A" w:rsidRDefault="00BC38FB" w:rsidP="00433A3F">
      <w:pPr>
        <w:pStyle w:val="Prrafodelista"/>
        <w:numPr>
          <w:ilvl w:val="0"/>
          <w:numId w:val="4"/>
        </w:numPr>
        <w:jc w:val="both"/>
        <w:rPr>
          <w:rFonts w:ascii="Arial" w:hAnsi="Arial" w:cs="Arial"/>
          <w:b/>
          <w:bCs/>
          <w:vanish/>
          <w:sz w:val="24"/>
          <w:szCs w:val="24"/>
          <w:highlight w:val="yellow"/>
          <w:lang w:eastAsia="es-ES"/>
        </w:rPr>
      </w:pPr>
    </w:p>
    <w:p w14:paraId="1C004987" w14:textId="77777777" w:rsidR="00265C7C" w:rsidRDefault="007B01D3" w:rsidP="00433A3F">
      <w:pPr>
        <w:jc w:val="both"/>
        <w:rPr>
          <w:rFonts w:ascii="Arial" w:hAnsi="Arial" w:cs="Arial"/>
          <w:sz w:val="24"/>
          <w:szCs w:val="24"/>
        </w:rPr>
      </w:pPr>
      <w:r w:rsidRPr="0042160A">
        <w:rPr>
          <w:rFonts w:ascii="Arial" w:hAnsi="Arial" w:cs="Arial"/>
          <w:sz w:val="24"/>
          <w:szCs w:val="24"/>
          <w:u w:val="single"/>
        </w:rPr>
        <w:t>A nivel autonómico</w:t>
      </w:r>
      <w:r w:rsidR="00B644C5" w:rsidRPr="0042160A">
        <w:rPr>
          <w:rFonts w:ascii="Arial" w:hAnsi="Arial" w:cs="Arial"/>
          <w:sz w:val="24"/>
          <w:szCs w:val="24"/>
        </w:rPr>
        <w:t xml:space="preserve"> destacar en</w:t>
      </w:r>
      <w:r w:rsidRPr="0042160A">
        <w:rPr>
          <w:rFonts w:ascii="Arial" w:hAnsi="Arial" w:cs="Arial"/>
          <w:sz w:val="24"/>
          <w:szCs w:val="24"/>
        </w:rPr>
        <w:t>:</w:t>
      </w:r>
    </w:p>
    <w:p w14:paraId="521177F0" w14:textId="77777777" w:rsidR="00265C7C" w:rsidRDefault="006A05AA" w:rsidP="00433A3F">
      <w:pPr>
        <w:numPr>
          <w:ilvl w:val="1"/>
          <w:numId w:val="10"/>
        </w:numPr>
        <w:jc w:val="both"/>
        <w:rPr>
          <w:rFonts w:ascii="Arial" w:hAnsi="Arial" w:cs="Arial"/>
          <w:sz w:val="24"/>
          <w:szCs w:val="24"/>
        </w:rPr>
      </w:pPr>
      <w:r w:rsidRPr="0042160A">
        <w:rPr>
          <w:rFonts w:ascii="Arial" w:hAnsi="Arial" w:cs="Arial"/>
          <w:b/>
          <w:bCs/>
          <w:sz w:val="24"/>
          <w:szCs w:val="24"/>
        </w:rPr>
        <w:t>ASTURIAS: Ley del Principado de Asturias del Estatuto de las Mujeres Rurales del Principado de Asturias.</w:t>
      </w:r>
    </w:p>
    <w:p w14:paraId="03331F5D" w14:textId="77777777" w:rsidR="003B762E" w:rsidRPr="003B762E" w:rsidRDefault="003B762E" w:rsidP="00433A3F">
      <w:pPr>
        <w:numPr>
          <w:ilvl w:val="1"/>
          <w:numId w:val="10"/>
        </w:numPr>
        <w:jc w:val="both"/>
        <w:rPr>
          <w:rFonts w:ascii="Arial" w:hAnsi="Arial" w:cs="Arial"/>
          <w:b/>
          <w:bCs/>
          <w:sz w:val="24"/>
          <w:szCs w:val="24"/>
        </w:rPr>
      </w:pPr>
      <w:r w:rsidRPr="003B762E">
        <w:rPr>
          <w:rFonts w:ascii="Arial" w:hAnsi="Arial" w:cs="Arial"/>
          <w:b/>
          <w:bCs/>
          <w:sz w:val="24"/>
          <w:szCs w:val="24"/>
        </w:rPr>
        <w:t>MURCIA: Decreto n.º 82/2026, de 11 de junio, por el que se establecen las normas especiales reguladoras de la concesión directa de subvenciones destinadas a los Ayuntamientos de la Región de Murcia, para la atención integral a mujeres víctimas de violencia de género en el marco del Pacto de Estado contra la Violencia de Género.</w:t>
      </w:r>
    </w:p>
    <w:p w14:paraId="5B46D8D9" w14:textId="77777777" w:rsidR="00265C7C" w:rsidRDefault="00B102F3" w:rsidP="00433A3F">
      <w:pPr>
        <w:numPr>
          <w:ilvl w:val="1"/>
          <w:numId w:val="10"/>
        </w:numPr>
        <w:jc w:val="both"/>
        <w:rPr>
          <w:rFonts w:ascii="Arial" w:hAnsi="Arial" w:cs="Arial"/>
          <w:sz w:val="24"/>
          <w:szCs w:val="24"/>
        </w:rPr>
      </w:pPr>
      <w:r w:rsidRPr="00265C7C">
        <w:rPr>
          <w:rFonts w:ascii="Arial" w:hAnsi="Arial" w:cs="Arial"/>
          <w:b/>
          <w:bCs/>
          <w:sz w:val="24"/>
          <w:szCs w:val="24"/>
        </w:rPr>
        <w:t>PAIS VASCO:</w:t>
      </w:r>
      <w:r w:rsidR="00265C7C">
        <w:rPr>
          <w:rFonts w:ascii="Arial" w:hAnsi="Arial" w:cs="Arial"/>
          <w:b/>
          <w:bCs/>
          <w:sz w:val="24"/>
          <w:szCs w:val="24"/>
        </w:rPr>
        <w:t xml:space="preserve"> </w:t>
      </w:r>
      <w:r w:rsidRPr="00265C7C">
        <w:rPr>
          <w:rFonts w:ascii="Arial" w:hAnsi="Arial" w:cs="Arial"/>
          <w:b/>
          <w:bCs/>
          <w:sz w:val="24"/>
          <w:szCs w:val="24"/>
        </w:rPr>
        <w:t>Decreto 13/2026, de 10 de febrero, por el que se establece el procedimiento de concesión y pago de la ayuda económica a víctimas de violencias sexuales, prevista en el artículo 41 de la Ley Orgánica 10/2022, de 6 de septiembre, de garantía integral de la libertad sexual. ayudas económicas para víctimas de violencia sexual y refuerza la protección de mujeres con discapacidad, garantizando accesibilidad en los procedimientos y mayores apoyos económicos en situaciones de especial vulnerabilidad.</w:t>
      </w:r>
    </w:p>
    <w:p w14:paraId="47F9E12A" w14:textId="77777777" w:rsidR="00265C7C" w:rsidRDefault="00265C7C" w:rsidP="00433A3F">
      <w:pPr>
        <w:numPr>
          <w:ilvl w:val="1"/>
          <w:numId w:val="10"/>
        </w:numPr>
        <w:jc w:val="both"/>
        <w:rPr>
          <w:rFonts w:ascii="Arial" w:hAnsi="Arial" w:cs="Arial"/>
          <w:sz w:val="24"/>
          <w:szCs w:val="24"/>
        </w:rPr>
      </w:pPr>
      <w:r>
        <w:rPr>
          <w:rFonts w:ascii="Arial" w:hAnsi="Arial" w:cs="Arial"/>
          <w:b/>
          <w:bCs/>
          <w:sz w:val="24"/>
          <w:szCs w:val="24"/>
        </w:rPr>
        <w:t xml:space="preserve">COMUNIDAD DE </w:t>
      </w:r>
      <w:r w:rsidRPr="00265C7C">
        <w:rPr>
          <w:rFonts w:ascii="Arial" w:hAnsi="Arial" w:cs="Arial"/>
          <w:b/>
          <w:bCs/>
          <w:sz w:val="24"/>
          <w:szCs w:val="24"/>
        </w:rPr>
        <w:t>MADRID</w:t>
      </w:r>
      <w:r w:rsidR="00B102F3" w:rsidRPr="00265C7C">
        <w:rPr>
          <w:rFonts w:ascii="Arial" w:hAnsi="Arial" w:cs="Arial"/>
          <w:b/>
          <w:bCs/>
          <w:sz w:val="24"/>
          <w:szCs w:val="24"/>
        </w:rPr>
        <w:t>: Extracto de Orden 352/2026, de 27 de febrero, de la Consejería de Familia, Juventud y Asuntos Sociales, por la que se realiza la convocatoria para 2026 de las subvenciones a entidades sin ánimo de lucro para la ejecución de proyectos de atención integral a mujeres en situación de vulnerabilidad, cofinanciadas al 40 % por el Programa FSE+ 2021-2027 de la Comunidad de Madrid.</w:t>
      </w:r>
    </w:p>
    <w:p w14:paraId="583FDB0D" w14:textId="77777777" w:rsidR="00265C7C" w:rsidRPr="009350B7" w:rsidRDefault="00B102F3" w:rsidP="00433A3F">
      <w:pPr>
        <w:numPr>
          <w:ilvl w:val="1"/>
          <w:numId w:val="10"/>
        </w:numPr>
        <w:jc w:val="both"/>
        <w:rPr>
          <w:rFonts w:ascii="Arial" w:hAnsi="Arial" w:cs="Arial"/>
          <w:b/>
          <w:bCs/>
          <w:sz w:val="24"/>
          <w:szCs w:val="24"/>
        </w:rPr>
      </w:pPr>
      <w:r w:rsidRPr="00265C7C">
        <w:rPr>
          <w:rFonts w:ascii="Arial" w:hAnsi="Arial" w:cs="Arial"/>
          <w:b/>
          <w:bCs/>
          <w:sz w:val="24"/>
          <w:szCs w:val="24"/>
        </w:rPr>
        <w:lastRenderedPageBreak/>
        <w:t xml:space="preserve">CASTILLA- LA MANCHA: Orden 19/2026, de 4 de febrero, de la Consejería de Igualdad, por la que se establecen las bases reguladoras de las subvenciones para favorecer la igualdad y la no discriminación de las personas pertenecientes al colectivo LGTBI y visibilización del movimiento asociativo LGTBI de Castilla-La Mancha. </w:t>
      </w:r>
    </w:p>
    <w:p w14:paraId="24C376EA" w14:textId="77777777" w:rsidR="009350B7" w:rsidRPr="009350B7" w:rsidRDefault="009350B7" w:rsidP="009350B7">
      <w:pPr>
        <w:numPr>
          <w:ilvl w:val="1"/>
          <w:numId w:val="10"/>
        </w:numPr>
        <w:jc w:val="both"/>
        <w:rPr>
          <w:rFonts w:ascii="Arial" w:hAnsi="Arial" w:cs="Arial"/>
          <w:b/>
          <w:bCs/>
          <w:sz w:val="24"/>
          <w:szCs w:val="24"/>
        </w:rPr>
      </w:pPr>
      <w:r w:rsidRPr="009350B7">
        <w:rPr>
          <w:rFonts w:ascii="Arial" w:hAnsi="Arial" w:cs="Arial"/>
          <w:b/>
          <w:bCs/>
          <w:sz w:val="24"/>
          <w:szCs w:val="24"/>
        </w:rPr>
        <w:t>ASTURIAS:</w:t>
      </w:r>
      <w:r w:rsidRPr="009350B7">
        <w:rPr>
          <w:rFonts w:ascii="Arial" w:hAnsi="Arial" w:cs="Arial"/>
          <w:sz w:val="24"/>
          <w:szCs w:val="24"/>
        </w:rPr>
        <w:t xml:space="preserve"> </w:t>
      </w:r>
      <w:r w:rsidRPr="009350B7">
        <w:rPr>
          <w:rFonts w:ascii="Arial" w:hAnsi="Arial" w:cs="Arial"/>
          <w:b/>
          <w:bCs/>
          <w:sz w:val="24"/>
          <w:szCs w:val="24"/>
        </w:rPr>
        <w:t>Resolución de 29 de mayo de 2026, de la Delegación del Gobierno contra la Violencia de Género, por la que se publica el Convenio con la Comunidad Autónoma del Principado de Asturias, para la prestación del servicio telefónico de información, atención y asesoramiento jurídico en materia de violencia contra las mujeres.</w:t>
      </w:r>
    </w:p>
    <w:p w14:paraId="79B5A5C7" w14:textId="77777777" w:rsidR="00265C7C" w:rsidRDefault="00B102F3" w:rsidP="00433A3F">
      <w:pPr>
        <w:numPr>
          <w:ilvl w:val="1"/>
          <w:numId w:val="10"/>
        </w:numPr>
        <w:jc w:val="both"/>
        <w:rPr>
          <w:rFonts w:ascii="Arial" w:hAnsi="Arial" w:cs="Arial"/>
          <w:sz w:val="24"/>
          <w:szCs w:val="24"/>
        </w:rPr>
      </w:pPr>
      <w:r w:rsidRPr="00265C7C">
        <w:rPr>
          <w:rFonts w:ascii="Arial" w:hAnsi="Arial" w:cs="Arial"/>
          <w:b/>
          <w:bCs/>
          <w:sz w:val="24"/>
          <w:szCs w:val="24"/>
        </w:rPr>
        <w:t>GALICIA: Resolución de 4 de mayo de 2026, de la Dirección General de Promoción de la Igualdad, por la que se publica la Resolución de 30 de abril de 2026 que pone fin al procedimiento de concesión de las subvenciones convocadas mediante la Orden de 30 de diciembre de 2025, por la que se establecen las bases reguladoras que regirán las subvenciones a entidades de iniciativa social sin ánimo de lucro para programas dirigidos a mujeres en situación de especial vulnerabilidad, cofinanciadas por la Unión Europea en el marco del programa FSE+ Galicia 2021-2027, y se convocan para el año 2026.</w:t>
      </w:r>
    </w:p>
    <w:p w14:paraId="48A5BB07" w14:textId="77777777" w:rsidR="006A05AA" w:rsidRPr="00265C7C" w:rsidRDefault="00B102F3" w:rsidP="00433A3F">
      <w:pPr>
        <w:numPr>
          <w:ilvl w:val="1"/>
          <w:numId w:val="10"/>
        </w:numPr>
        <w:jc w:val="both"/>
        <w:rPr>
          <w:rFonts w:ascii="Arial" w:hAnsi="Arial" w:cs="Arial"/>
          <w:sz w:val="24"/>
          <w:szCs w:val="24"/>
        </w:rPr>
      </w:pPr>
      <w:r w:rsidRPr="00265C7C">
        <w:rPr>
          <w:rFonts w:ascii="Arial" w:hAnsi="Arial" w:cs="Arial"/>
          <w:b/>
          <w:bCs/>
          <w:sz w:val="24"/>
          <w:szCs w:val="24"/>
        </w:rPr>
        <w:t>ANDALUCÍA: Resolución de 28 de abril de 2026, de la Dirección del Instituto Andaluz de la Mujer, por la que se convocan subvenciones en régimen de concurrencia competitiva a entidades sin ánimo de lucro para la atención a mujeres en situación de riesgo de exclusión social y especialmente vulnerables ante la violencia de género para el ejercicio 2026.</w:t>
      </w:r>
    </w:p>
    <w:p w14:paraId="1904DF93" w14:textId="77777777" w:rsidR="000207A1" w:rsidRPr="0042160A" w:rsidRDefault="000207A1" w:rsidP="00433A3F">
      <w:pPr>
        <w:pStyle w:val="xxmsonormal"/>
        <w:jc w:val="both"/>
        <w:rPr>
          <w:rFonts w:ascii="Arial" w:hAnsi="Arial" w:cs="Arial"/>
          <w:sz w:val="24"/>
          <w:szCs w:val="24"/>
        </w:rPr>
      </w:pPr>
      <w:r w:rsidRPr="0042160A">
        <w:rPr>
          <w:rFonts w:ascii="Arial" w:hAnsi="Arial" w:cs="Arial"/>
          <w:sz w:val="24"/>
          <w:szCs w:val="24"/>
        </w:rPr>
        <w:t> </w:t>
      </w:r>
    </w:p>
    <w:p w14:paraId="6B01D0AF" w14:textId="77777777" w:rsidR="00957765" w:rsidRPr="00597D88" w:rsidRDefault="00957E2C"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JUEGO</w:t>
      </w:r>
    </w:p>
    <w:p w14:paraId="3FAFB1F3" w14:textId="77777777" w:rsidR="00FC4481" w:rsidRPr="0042160A" w:rsidRDefault="00FC4481" w:rsidP="00433A3F">
      <w:pPr>
        <w:jc w:val="both"/>
        <w:rPr>
          <w:rFonts w:ascii="Arial" w:hAnsi="Arial" w:cs="Arial"/>
          <w:sz w:val="24"/>
          <w:szCs w:val="24"/>
        </w:rPr>
      </w:pPr>
      <w:bookmarkStart w:id="1" w:name="_Hlk201215725"/>
      <w:r w:rsidRPr="0042160A">
        <w:rPr>
          <w:rFonts w:ascii="Arial" w:hAnsi="Arial" w:cs="Arial"/>
          <w:sz w:val="24"/>
          <w:szCs w:val="24"/>
        </w:rPr>
        <w:t xml:space="preserve">A </w:t>
      </w:r>
      <w:r w:rsidRPr="0042160A">
        <w:rPr>
          <w:rFonts w:ascii="Arial" w:hAnsi="Arial" w:cs="Arial"/>
          <w:sz w:val="24"/>
          <w:szCs w:val="24"/>
          <w:u w:val="single"/>
        </w:rPr>
        <w:t>nivel estatal</w:t>
      </w:r>
      <w:r w:rsidRPr="0042160A">
        <w:rPr>
          <w:rFonts w:ascii="Arial" w:hAnsi="Arial" w:cs="Arial"/>
          <w:sz w:val="24"/>
          <w:szCs w:val="24"/>
        </w:rPr>
        <w:t>, cabe señalar en este periodo la aprobación de:</w:t>
      </w:r>
    </w:p>
    <w:p w14:paraId="524A922A" w14:textId="77777777" w:rsidR="00864C0D" w:rsidRPr="00864C0D" w:rsidRDefault="00864C0D" w:rsidP="00864C0D">
      <w:pPr>
        <w:numPr>
          <w:ilvl w:val="1"/>
          <w:numId w:val="31"/>
        </w:numPr>
        <w:jc w:val="both"/>
        <w:rPr>
          <w:rFonts w:ascii="Arial" w:hAnsi="Arial" w:cs="Arial"/>
          <w:b/>
          <w:bCs/>
          <w:sz w:val="24"/>
          <w:szCs w:val="24"/>
        </w:rPr>
      </w:pPr>
      <w:r w:rsidRPr="00864C0D">
        <w:rPr>
          <w:rFonts w:ascii="Arial" w:hAnsi="Arial" w:cs="Arial"/>
          <w:b/>
          <w:bCs/>
          <w:sz w:val="24"/>
          <w:szCs w:val="24"/>
        </w:rPr>
        <w:t>Real Decreto 520/2026, de 24 de junio, por el que se modifican el Real Decreto 1614/2011, de 14 de noviembre, por el que se desarrolla la Ley 13/2011, de 27 de mayo, de regulación del juego, en lo relativo a licencias, autorizaciones y registros del juego, para la introducción de un sistema de límites de depósito conjuntos por jugador y el Real Decreto 176/2023, de 14 de marzo, por el que se desarrollan entornos más seguros de juego.</w:t>
      </w:r>
      <w:r>
        <w:rPr>
          <w:rFonts w:ascii="Arial" w:hAnsi="Arial" w:cs="Arial"/>
          <w:b/>
          <w:bCs/>
          <w:sz w:val="24"/>
          <w:szCs w:val="24"/>
        </w:rPr>
        <w:t xml:space="preserve"> </w:t>
      </w:r>
      <w:r w:rsidRPr="00864C0D">
        <w:rPr>
          <w:rFonts w:ascii="Arial" w:hAnsi="Arial" w:cs="Arial"/>
          <w:sz w:val="24"/>
          <w:szCs w:val="24"/>
        </w:rPr>
        <w:t>La norma establece un límite global de depósitos por persona, computando el conjunto de los realizados en todas las plataformas de juego.</w:t>
      </w:r>
    </w:p>
    <w:p w14:paraId="11D63BC3" w14:textId="77777777" w:rsidR="00265C7C" w:rsidRDefault="00FC4481" w:rsidP="00433A3F">
      <w:pPr>
        <w:numPr>
          <w:ilvl w:val="1"/>
          <w:numId w:val="31"/>
        </w:numPr>
        <w:jc w:val="both"/>
        <w:rPr>
          <w:rFonts w:ascii="Arial" w:hAnsi="Arial" w:cs="Arial"/>
          <w:b/>
          <w:bCs/>
          <w:sz w:val="24"/>
          <w:szCs w:val="24"/>
        </w:rPr>
      </w:pPr>
      <w:r w:rsidRPr="0042160A">
        <w:rPr>
          <w:rFonts w:ascii="Arial" w:hAnsi="Arial" w:cs="Arial"/>
          <w:b/>
          <w:bCs/>
          <w:sz w:val="24"/>
          <w:szCs w:val="24"/>
        </w:rPr>
        <w:t xml:space="preserve">Extracto de la Orden de 18 de mayo de 2026, del Ministerio de Derechos Sociales, Consumo y Agenda 2030, por la que se aprueba la </w:t>
      </w:r>
      <w:r w:rsidRPr="0042160A">
        <w:rPr>
          <w:rFonts w:ascii="Arial" w:hAnsi="Arial" w:cs="Arial"/>
          <w:b/>
          <w:bCs/>
          <w:sz w:val="24"/>
          <w:szCs w:val="24"/>
        </w:rPr>
        <w:lastRenderedPageBreak/>
        <w:t>convocatoria de subvenciones, durante el ejercicio 2026, para el desarrollo de actividades de investigación relacionadas con la prevención de los trastornos del juego, con los efectos derivados de dichos trastornos o con los riesgos asociados a esta actividad.</w:t>
      </w:r>
    </w:p>
    <w:p w14:paraId="62BF6DE5" w14:textId="77777777" w:rsidR="00265C7C" w:rsidRDefault="00FC4481" w:rsidP="00433A3F">
      <w:pPr>
        <w:numPr>
          <w:ilvl w:val="1"/>
          <w:numId w:val="31"/>
        </w:numPr>
        <w:jc w:val="both"/>
        <w:rPr>
          <w:rFonts w:ascii="Arial" w:hAnsi="Arial" w:cs="Arial"/>
          <w:b/>
          <w:bCs/>
          <w:sz w:val="24"/>
          <w:szCs w:val="24"/>
        </w:rPr>
      </w:pPr>
      <w:r w:rsidRPr="00265C7C">
        <w:rPr>
          <w:rFonts w:ascii="Arial" w:hAnsi="Arial" w:cs="Arial"/>
          <w:b/>
          <w:bCs/>
          <w:sz w:val="24"/>
          <w:szCs w:val="24"/>
        </w:rPr>
        <w:t>Resolución de 27 de abril de 2026, de la Secretaría de Estado de Derechos Sociales, por la que se publica la realización de un sorteo extraordinario de la modalidad de lotería denominada «Cupón de la ONCE» el 11 de noviembre de 2026, «Sorteo 11/11 de la ONCE».</w:t>
      </w:r>
    </w:p>
    <w:p w14:paraId="64E7E406" w14:textId="77777777" w:rsidR="00265C7C" w:rsidRDefault="00FC4481" w:rsidP="00433A3F">
      <w:pPr>
        <w:numPr>
          <w:ilvl w:val="1"/>
          <w:numId w:val="31"/>
        </w:numPr>
        <w:jc w:val="both"/>
        <w:rPr>
          <w:rFonts w:ascii="Arial" w:hAnsi="Arial" w:cs="Arial"/>
          <w:b/>
          <w:bCs/>
          <w:sz w:val="24"/>
          <w:szCs w:val="24"/>
        </w:rPr>
      </w:pPr>
      <w:r w:rsidRPr="00265C7C">
        <w:rPr>
          <w:rFonts w:ascii="Arial" w:hAnsi="Arial" w:cs="Arial"/>
          <w:b/>
          <w:bCs/>
          <w:sz w:val="24"/>
          <w:szCs w:val="24"/>
        </w:rPr>
        <w:t>Resolución de 11 de marzo de 2026, de la Secretaría de Estado de Derechos Sociales, por la que se publica la modificación del Reglamento regulador de la modalidad de lotería denominada «Lotería Instantánea de boletos de la ONCE» y se da publicidad a la implantación, lanzamiento y finalización de varios productos de dicha modalidad.</w:t>
      </w:r>
    </w:p>
    <w:p w14:paraId="2F23A15B" w14:textId="77777777" w:rsidR="00265C7C" w:rsidRDefault="00FC4481" w:rsidP="00433A3F">
      <w:pPr>
        <w:numPr>
          <w:ilvl w:val="1"/>
          <w:numId w:val="31"/>
        </w:numPr>
        <w:jc w:val="both"/>
        <w:rPr>
          <w:rFonts w:ascii="Arial" w:hAnsi="Arial" w:cs="Arial"/>
          <w:b/>
          <w:bCs/>
          <w:sz w:val="24"/>
          <w:szCs w:val="24"/>
        </w:rPr>
      </w:pPr>
      <w:r w:rsidRPr="00265C7C">
        <w:rPr>
          <w:rFonts w:ascii="Arial" w:hAnsi="Arial" w:cs="Arial"/>
          <w:b/>
          <w:bCs/>
          <w:sz w:val="24"/>
          <w:szCs w:val="24"/>
        </w:rPr>
        <w:t>Resolución de 11 de marzo de 2026, de la Secretaría de Estado de Derechos Sociales, por la que se publica la realización de un sorteo extraordinario de la modalidad de lotería denominada «Cupón de la ONCE» el 15 de agosto de 2026, «Cupón Extra de Verano de la ONCE».</w:t>
      </w:r>
    </w:p>
    <w:p w14:paraId="04F1FE79" w14:textId="77777777" w:rsidR="00265C7C" w:rsidRDefault="00FC4481" w:rsidP="00433A3F">
      <w:pPr>
        <w:numPr>
          <w:ilvl w:val="1"/>
          <w:numId w:val="31"/>
        </w:numPr>
        <w:jc w:val="both"/>
        <w:rPr>
          <w:rFonts w:ascii="Arial" w:hAnsi="Arial" w:cs="Arial"/>
          <w:b/>
          <w:bCs/>
          <w:sz w:val="24"/>
          <w:szCs w:val="24"/>
        </w:rPr>
      </w:pPr>
      <w:r w:rsidRPr="00265C7C">
        <w:rPr>
          <w:rFonts w:ascii="Arial" w:hAnsi="Arial" w:cs="Arial"/>
          <w:b/>
          <w:bCs/>
          <w:sz w:val="24"/>
          <w:szCs w:val="24"/>
        </w:rPr>
        <w:t>Resolución de 11 de marzo de 2026, de la Secretaría de Estado de Derechos Sociales, por la que se publica la implantación del producto «Dupla de la ONCE» de la modalidad de lotería denominada «Juego Activo de la ONCE» y la modificación del Reglamento regulador de los productos de dicha modalidad. Supone el lanzamiento de un nuevo producto dentro de la modalidad de “Juego Activo”.</w:t>
      </w:r>
    </w:p>
    <w:p w14:paraId="52BC1656" w14:textId="77777777" w:rsidR="00B102F3" w:rsidRPr="00265C7C" w:rsidRDefault="00FC4481" w:rsidP="00433A3F">
      <w:pPr>
        <w:numPr>
          <w:ilvl w:val="1"/>
          <w:numId w:val="31"/>
        </w:numPr>
        <w:jc w:val="both"/>
        <w:rPr>
          <w:rFonts w:ascii="Arial" w:hAnsi="Arial" w:cs="Arial"/>
          <w:b/>
          <w:bCs/>
          <w:sz w:val="24"/>
          <w:szCs w:val="24"/>
        </w:rPr>
      </w:pPr>
      <w:r w:rsidRPr="00265C7C">
        <w:rPr>
          <w:rFonts w:ascii="Arial" w:hAnsi="Arial" w:cs="Arial"/>
          <w:b/>
          <w:bCs/>
          <w:sz w:val="24"/>
          <w:szCs w:val="24"/>
        </w:rPr>
        <w:t>Resolución de 29 de enero de 2026, de la Secretaría de Estado de Derechos Sociales, por la que se publica la modificación del Reglamento regulador de la modalidad de lotería denominada «Lotería Instantánea de boletos de la ONCE» y se da publicidad a la implantación, lanzamiento y finalización de varios productos de dicha modalidad</w:t>
      </w:r>
    </w:p>
    <w:p w14:paraId="14B1CBCB" w14:textId="77777777" w:rsidR="00B102F3" w:rsidRPr="0042160A" w:rsidRDefault="00E72446" w:rsidP="00433A3F">
      <w:pPr>
        <w:ind w:left="390"/>
        <w:jc w:val="both"/>
        <w:rPr>
          <w:rFonts w:ascii="Arial" w:hAnsi="Arial" w:cs="Arial"/>
          <w:sz w:val="24"/>
          <w:szCs w:val="24"/>
        </w:rPr>
      </w:pPr>
      <w:r w:rsidRPr="0042160A">
        <w:rPr>
          <w:rFonts w:ascii="Arial" w:hAnsi="Arial" w:cs="Arial"/>
          <w:sz w:val="24"/>
          <w:szCs w:val="24"/>
          <w:u w:val="single"/>
        </w:rPr>
        <w:t>A nivel autonómico</w:t>
      </w:r>
      <w:r w:rsidRPr="0042160A">
        <w:rPr>
          <w:rFonts w:ascii="Arial" w:hAnsi="Arial" w:cs="Arial"/>
          <w:sz w:val="24"/>
          <w:szCs w:val="24"/>
        </w:rPr>
        <w:t xml:space="preserve"> destacar en:</w:t>
      </w:r>
    </w:p>
    <w:p w14:paraId="03E3E977" w14:textId="77777777" w:rsidR="0072249E" w:rsidRPr="0042160A" w:rsidRDefault="0062505A" w:rsidP="00433A3F">
      <w:pPr>
        <w:numPr>
          <w:ilvl w:val="1"/>
          <w:numId w:val="31"/>
        </w:numPr>
        <w:jc w:val="both"/>
        <w:rPr>
          <w:rFonts w:ascii="Arial" w:hAnsi="Arial" w:cs="Arial"/>
          <w:sz w:val="24"/>
          <w:szCs w:val="24"/>
        </w:rPr>
      </w:pPr>
      <w:r w:rsidRPr="0042160A">
        <w:rPr>
          <w:rFonts w:ascii="Arial" w:hAnsi="Arial" w:cs="Arial"/>
          <w:b/>
          <w:bCs/>
          <w:sz w:val="24"/>
          <w:szCs w:val="24"/>
        </w:rPr>
        <w:t xml:space="preserve">COMUNIDAD VALENCIANA: DECRETO 77/2026, de 29 de mayo, del Consell, de aprobación de las directrices y los criterios que tienen que regir el desarrollo del sector del juego en la Comunitat Valenciana. </w:t>
      </w:r>
      <w:r w:rsidRPr="0042160A">
        <w:rPr>
          <w:rFonts w:ascii="Arial" w:hAnsi="Arial" w:cs="Arial"/>
          <w:sz w:val="24"/>
          <w:szCs w:val="24"/>
        </w:rPr>
        <w:t>Incluye medidas destinadas a reforzar la prevención de las conductas adictivas relacionadas con el juego y a proteger a los colectivos más vulnerables frente a los riesgos derivados de determinadas modalidades de apuesta.</w:t>
      </w:r>
    </w:p>
    <w:p w14:paraId="59802EFB" w14:textId="77777777" w:rsidR="009350B7" w:rsidRDefault="009350B7" w:rsidP="009350B7">
      <w:pPr>
        <w:numPr>
          <w:ilvl w:val="1"/>
          <w:numId w:val="31"/>
        </w:numPr>
        <w:jc w:val="both"/>
        <w:rPr>
          <w:rFonts w:ascii="Arial" w:hAnsi="Arial" w:cs="Arial"/>
          <w:sz w:val="24"/>
          <w:szCs w:val="24"/>
        </w:rPr>
      </w:pPr>
      <w:r w:rsidRPr="009350B7">
        <w:rPr>
          <w:rFonts w:ascii="Arial" w:hAnsi="Arial" w:cs="Arial"/>
          <w:b/>
          <w:bCs/>
          <w:sz w:val="24"/>
          <w:szCs w:val="24"/>
        </w:rPr>
        <w:lastRenderedPageBreak/>
        <w:t>ARAGÓN</w:t>
      </w:r>
      <w:r w:rsidR="0062505A" w:rsidRPr="0042160A">
        <w:rPr>
          <w:rFonts w:ascii="Arial" w:hAnsi="Arial" w:cs="Arial"/>
          <w:b/>
          <w:bCs/>
          <w:sz w:val="24"/>
          <w:szCs w:val="24"/>
        </w:rPr>
        <w:t>: Orden HAP/642/2026, de 14 de abril, por la que se aprueba el Plan de Inspección de Juego de la Comunidad Autónoma de Aragón, para el periodo 2026-2030.</w:t>
      </w:r>
    </w:p>
    <w:p w14:paraId="2597283B" w14:textId="77777777" w:rsidR="009350B7" w:rsidRPr="009350B7" w:rsidRDefault="009350B7" w:rsidP="009350B7">
      <w:pPr>
        <w:numPr>
          <w:ilvl w:val="1"/>
          <w:numId w:val="31"/>
        </w:numPr>
        <w:jc w:val="both"/>
        <w:rPr>
          <w:rFonts w:ascii="Arial" w:hAnsi="Arial" w:cs="Arial"/>
          <w:sz w:val="24"/>
          <w:szCs w:val="24"/>
        </w:rPr>
      </w:pPr>
      <w:r w:rsidRPr="009350B7">
        <w:rPr>
          <w:rFonts w:ascii="Arial" w:hAnsi="Arial" w:cs="Arial"/>
          <w:b/>
          <w:bCs/>
          <w:sz w:val="24"/>
          <w:szCs w:val="24"/>
        </w:rPr>
        <w:t>CASTILLA – LA MANCHA</w:t>
      </w:r>
      <w:r w:rsidRPr="009350B7">
        <w:rPr>
          <w:rFonts w:ascii="Arial" w:hAnsi="Arial" w:cs="Arial"/>
          <w:sz w:val="24"/>
          <w:szCs w:val="24"/>
        </w:rPr>
        <w:t xml:space="preserve">: </w:t>
      </w:r>
      <w:r w:rsidRPr="009350B7">
        <w:rPr>
          <w:rFonts w:ascii="Arial" w:hAnsi="Arial" w:cs="Arial"/>
          <w:b/>
          <w:bCs/>
          <w:sz w:val="24"/>
          <w:szCs w:val="24"/>
        </w:rPr>
        <w:t>Resolución de 27 de mayo de 2026, de la Secretaría General Técnica, por la que se publica la Adenda de prórroga del Convenio entre la Secretaría de Estado de Seguridad y la Comunidad Autónoma de Castilla-La Mancha, en materia de juego</w:t>
      </w:r>
    </w:p>
    <w:bookmarkEnd w:id="1"/>
    <w:p w14:paraId="32EF1921" w14:textId="77777777" w:rsidR="000B7446" w:rsidRPr="00597D88" w:rsidRDefault="000B7446"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SOSTENIBILIDAD</w:t>
      </w:r>
    </w:p>
    <w:p w14:paraId="19A3DB96" w14:textId="77777777" w:rsidR="000B7446" w:rsidRPr="0042160A" w:rsidRDefault="000B7446" w:rsidP="00433A3F">
      <w:pPr>
        <w:pStyle w:val="Prrafodelista"/>
        <w:numPr>
          <w:ilvl w:val="0"/>
          <w:numId w:val="3"/>
        </w:numPr>
        <w:jc w:val="both"/>
        <w:rPr>
          <w:rFonts w:ascii="Arial" w:hAnsi="Arial" w:cs="Arial"/>
          <w:b/>
          <w:bCs/>
          <w:vanish/>
          <w:color w:val="000000"/>
          <w:sz w:val="24"/>
          <w:szCs w:val="24"/>
        </w:rPr>
      </w:pPr>
    </w:p>
    <w:p w14:paraId="3E2BBFBE" w14:textId="77777777" w:rsidR="000B7446" w:rsidRPr="0042160A" w:rsidRDefault="000B7446" w:rsidP="00433A3F">
      <w:pPr>
        <w:pStyle w:val="Prrafodelista"/>
        <w:numPr>
          <w:ilvl w:val="0"/>
          <w:numId w:val="3"/>
        </w:numPr>
        <w:jc w:val="both"/>
        <w:rPr>
          <w:rFonts w:ascii="Arial" w:hAnsi="Arial" w:cs="Arial"/>
          <w:b/>
          <w:bCs/>
          <w:vanish/>
          <w:color w:val="000000"/>
          <w:sz w:val="24"/>
          <w:szCs w:val="24"/>
        </w:rPr>
      </w:pPr>
    </w:p>
    <w:p w14:paraId="2F67A2FB" w14:textId="77777777" w:rsidR="00D41362" w:rsidRPr="00D41362" w:rsidRDefault="00D41362" w:rsidP="00433A3F">
      <w:pPr>
        <w:pStyle w:val="Prrafodelista"/>
        <w:spacing w:after="0"/>
        <w:ind w:left="0"/>
        <w:jc w:val="both"/>
        <w:rPr>
          <w:rFonts w:ascii="Arial" w:hAnsi="Arial" w:cs="Arial"/>
          <w:sz w:val="24"/>
          <w:szCs w:val="24"/>
          <w:highlight w:val="yellow"/>
          <w:lang w:eastAsia="es-ES"/>
        </w:rPr>
      </w:pPr>
    </w:p>
    <w:p w14:paraId="35E4518C" w14:textId="77777777" w:rsidR="0062505A" w:rsidRDefault="0062505A" w:rsidP="00433A3F">
      <w:pPr>
        <w:jc w:val="both"/>
        <w:rPr>
          <w:rFonts w:ascii="Arial" w:hAnsi="Arial" w:cs="Arial"/>
          <w:sz w:val="24"/>
          <w:szCs w:val="24"/>
        </w:rPr>
      </w:pPr>
      <w:r w:rsidRPr="0042160A">
        <w:rPr>
          <w:rFonts w:ascii="Arial" w:hAnsi="Arial" w:cs="Arial"/>
          <w:b/>
          <w:bCs/>
          <w:sz w:val="24"/>
          <w:szCs w:val="24"/>
        </w:rPr>
        <w:t xml:space="preserve">Se destaca la aprobación en Consejo de Ministros del 27 de enero del II Plan de Acción de Economía Circular.   </w:t>
      </w:r>
      <w:r w:rsidRPr="0042160A">
        <w:rPr>
          <w:rFonts w:ascii="Arial" w:hAnsi="Arial" w:cs="Arial"/>
          <w:sz w:val="24"/>
          <w:szCs w:val="24"/>
        </w:rPr>
        <w:t>El plan prevé una inversión de 1.884,89 millones de euros y un total de 105 medidas organizadas en cinco ejes —producción, consumo, gestión de residuos, materias primas secundarias y reutilización y depuración del agua— con el objetivo de mejorar la eficiencia en el uso de los recursos, reducir el impacto en el medioambiente y acelerar el despliegue de un modelo económico circular y descarbonizado.</w:t>
      </w:r>
    </w:p>
    <w:p w14:paraId="131943F3" w14:textId="77777777" w:rsidR="00D41362" w:rsidRPr="00EC20DE" w:rsidRDefault="00D41362" w:rsidP="00433A3F">
      <w:pPr>
        <w:jc w:val="both"/>
        <w:rPr>
          <w:rFonts w:ascii="Arial" w:hAnsi="Arial" w:cs="Arial"/>
          <w:sz w:val="24"/>
          <w:szCs w:val="24"/>
        </w:rPr>
      </w:pPr>
      <w:r>
        <w:rPr>
          <w:rFonts w:ascii="Arial" w:hAnsi="Arial" w:cs="Arial"/>
          <w:sz w:val="24"/>
          <w:szCs w:val="24"/>
        </w:rPr>
        <w:t xml:space="preserve">En cuanto a la normativa propiamente dicha, a nivel estatal cabe señalar la aprobación de: </w:t>
      </w:r>
    </w:p>
    <w:p w14:paraId="4B507DD2" w14:textId="77777777" w:rsidR="003B762E" w:rsidRPr="00413FEC" w:rsidRDefault="00D41362" w:rsidP="00413FEC">
      <w:pPr>
        <w:pStyle w:val="Prrafodelista"/>
        <w:numPr>
          <w:ilvl w:val="1"/>
          <w:numId w:val="37"/>
        </w:numPr>
        <w:jc w:val="both"/>
        <w:rPr>
          <w:rFonts w:ascii="Arial" w:hAnsi="Arial" w:cs="Arial"/>
          <w:sz w:val="24"/>
          <w:szCs w:val="24"/>
          <w:lang w:eastAsia="es-ES"/>
        </w:rPr>
      </w:pPr>
      <w:r w:rsidRPr="00D41362">
        <w:rPr>
          <w:rFonts w:ascii="Arial" w:hAnsi="Arial" w:cs="Arial"/>
          <w:b/>
          <w:bCs/>
          <w:sz w:val="24"/>
          <w:szCs w:val="24"/>
          <w:lang w:eastAsia="es-ES"/>
        </w:rPr>
        <w:t>Real Decreto 301/2026, de 8 de abril, por el que se modifica el Real Decreto 221/2008, de 15 de febrero, por el que se crea y regula el Consejo Estatal de Responsabilidad Social de las Empresas</w:t>
      </w:r>
      <w:r w:rsidRPr="00D41362">
        <w:rPr>
          <w:rFonts w:ascii="Arial" w:hAnsi="Arial" w:cs="Arial"/>
          <w:sz w:val="24"/>
          <w:szCs w:val="24"/>
          <w:lang w:eastAsia="es-ES"/>
        </w:rPr>
        <w:t>.</w:t>
      </w:r>
    </w:p>
    <w:p w14:paraId="69F7B222" w14:textId="77777777" w:rsidR="003B762E" w:rsidRDefault="003B762E" w:rsidP="00433A3F">
      <w:pPr>
        <w:ind w:left="390"/>
        <w:jc w:val="both"/>
        <w:rPr>
          <w:rFonts w:ascii="Arial" w:hAnsi="Arial" w:cs="Arial"/>
          <w:sz w:val="24"/>
          <w:szCs w:val="24"/>
        </w:rPr>
      </w:pPr>
      <w:r w:rsidRPr="0042160A">
        <w:rPr>
          <w:rFonts w:ascii="Arial" w:hAnsi="Arial" w:cs="Arial"/>
          <w:sz w:val="24"/>
          <w:szCs w:val="24"/>
          <w:u w:val="single"/>
        </w:rPr>
        <w:t>A nivel autonómico</w:t>
      </w:r>
      <w:r w:rsidRPr="0042160A">
        <w:rPr>
          <w:rFonts w:ascii="Arial" w:hAnsi="Arial" w:cs="Arial"/>
          <w:sz w:val="24"/>
          <w:szCs w:val="24"/>
        </w:rPr>
        <w:t xml:space="preserve"> destacar en:</w:t>
      </w:r>
    </w:p>
    <w:p w14:paraId="5E79C22D" w14:textId="77777777" w:rsidR="003B762E" w:rsidRPr="003B762E" w:rsidRDefault="003B762E" w:rsidP="00433A3F">
      <w:pPr>
        <w:pStyle w:val="Prrafodelista"/>
        <w:numPr>
          <w:ilvl w:val="1"/>
          <w:numId w:val="37"/>
        </w:numPr>
        <w:jc w:val="both"/>
        <w:rPr>
          <w:rFonts w:ascii="Arial" w:hAnsi="Arial" w:cs="Arial"/>
          <w:b/>
          <w:bCs/>
          <w:sz w:val="24"/>
          <w:szCs w:val="24"/>
          <w:lang w:eastAsia="es-ES"/>
        </w:rPr>
      </w:pPr>
      <w:r w:rsidRPr="003B762E">
        <w:rPr>
          <w:rFonts w:ascii="Arial" w:hAnsi="Arial" w:cs="Arial"/>
          <w:b/>
          <w:bCs/>
          <w:sz w:val="24"/>
          <w:szCs w:val="24"/>
          <w:lang w:eastAsia="es-ES"/>
        </w:rPr>
        <w:t>CANARIAS: Decreto 103/2026, de 15 de junio, por el que se crea el Distintivo Canario para la Responsabilidad Social Empresarial y Sostenibilidad.</w:t>
      </w:r>
    </w:p>
    <w:p w14:paraId="001B33E9" w14:textId="77777777" w:rsidR="0062505A" w:rsidRPr="0042160A" w:rsidRDefault="0062505A" w:rsidP="00433A3F">
      <w:pPr>
        <w:pStyle w:val="Prrafodelista"/>
        <w:spacing w:after="0"/>
        <w:ind w:left="0"/>
        <w:jc w:val="both"/>
        <w:rPr>
          <w:rFonts w:ascii="Arial" w:hAnsi="Arial" w:cs="Arial"/>
          <w:sz w:val="24"/>
          <w:szCs w:val="24"/>
          <w:highlight w:val="yellow"/>
          <w:lang w:eastAsia="es-ES"/>
        </w:rPr>
      </w:pPr>
    </w:p>
    <w:p w14:paraId="2EA312EA" w14:textId="77777777" w:rsidR="00545626" w:rsidRPr="00597D88" w:rsidRDefault="00545626"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 xml:space="preserve">DEPORTE </w:t>
      </w:r>
    </w:p>
    <w:p w14:paraId="4119675D" w14:textId="77777777" w:rsidR="0052502E" w:rsidRPr="0042160A" w:rsidRDefault="0052502E" w:rsidP="00433A3F">
      <w:pPr>
        <w:numPr>
          <w:ilvl w:val="1"/>
          <w:numId w:val="34"/>
        </w:numPr>
        <w:jc w:val="both"/>
        <w:rPr>
          <w:rFonts w:ascii="Arial" w:hAnsi="Arial" w:cs="Arial"/>
          <w:b/>
          <w:bCs/>
          <w:sz w:val="24"/>
          <w:szCs w:val="24"/>
        </w:rPr>
      </w:pPr>
      <w:bookmarkStart w:id="2" w:name="_Hlk201216122"/>
      <w:r w:rsidRPr="0042160A">
        <w:rPr>
          <w:rFonts w:ascii="Arial" w:hAnsi="Arial" w:cs="Arial"/>
          <w:b/>
          <w:bCs/>
          <w:sz w:val="24"/>
          <w:szCs w:val="24"/>
        </w:rPr>
        <w:t>Resolución de 23 de marzo de 2026, de la Presidencia del Consejo Superior de Deportes, por la que se publica la modificación de los Estatutos de la Federación Española de Deportes para Sordos. Se actualizan las normas internas de la federación deportiva de personas sordas, adaptándolas a la legislación vigente. </w:t>
      </w:r>
    </w:p>
    <w:p w14:paraId="069F202C" w14:textId="77777777" w:rsidR="00411092" w:rsidRPr="0042160A" w:rsidRDefault="00411092" w:rsidP="00433A3F">
      <w:pPr>
        <w:jc w:val="both"/>
        <w:rPr>
          <w:rFonts w:ascii="Arial" w:hAnsi="Arial" w:cs="Arial"/>
          <w:sz w:val="24"/>
          <w:szCs w:val="24"/>
        </w:rPr>
      </w:pPr>
      <w:r w:rsidRPr="0042160A">
        <w:rPr>
          <w:rFonts w:ascii="Arial" w:hAnsi="Arial" w:cs="Arial"/>
          <w:sz w:val="24"/>
          <w:szCs w:val="24"/>
          <w:u w:val="single"/>
        </w:rPr>
        <w:t>A nivel autonómico</w:t>
      </w:r>
      <w:r w:rsidRPr="0042160A">
        <w:rPr>
          <w:rFonts w:ascii="Arial" w:hAnsi="Arial" w:cs="Arial"/>
          <w:sz w:val="24"/>
          <w:szCs w:val="24"/>
        </w:rPr>
        <w:t xml:space="preserve"> destacar en:</w:t>
      </w:r>
    </w:p>
    <w:p w14:paraId="21A1F31B" w14:textId="77777777" w:rsidR="00265C7C" w:rsidRDefault="00265C7C" w:rsidP="00433A3F">
      <w:pPr>
        <w:pStyle w:val="Prrafodelista"/>
        <w:numPr>
          <w:ilvl w:val="1"/>
          <w:numId w:val="32"/>
        </w:numPr>
        <w:spacing w:after="160" w:line="278" w:lineRule="auto"/>
        <w:contextualSpacing/>
        <w:jc w:val="both"/>
        <w:rPr>
          <w:rFonts w:ascii="Arial" w:hAnsi="Arial" w:cs="Arial"/>
          <w:b/>
          <w:bCs/>
          <w:sz w:val="24"/>
          <w:szCs w:val="24"/>
        </w:rPr>
      </w:pPr>
      <w:r>
        <w:rPr>
          <w:rFonts w:ascii="Arial" w:hAnsi="Arial" w:cs="Arial"/>
          <w:b/>
          <w:bCs/>
          <w:sz w:val="24"/>
          <w:szCs w:val="24"/>
        </w:rPr>
        <w:t xml:space="preserve">COMUNIDAD DE </w:t>
      </w:r>
      <w:r w:rsidRPr="00265C7C">
        <w:rPr>
          <w:rFonts w:ascii="Arial" w:hAnsi="Arial" w:cs="Arial"/>
          <w:b/>
          <w:bCs/>
          <w:sz w:val="24"/>
          <w:szCs w:val="24"/>
        </w:rPr>
        <w:t>MADRID</w:t>
      </w:r>
      <w:r w:rsidR="00411092" w:rsidRPr="0042160A">
        <w:rPr>
          <w:rFonts w:ascii="Arial" w:hAnsi="Arial" w:cs="Arial"/>
          <w:sz w:val="24"/>
          <w:szCs w:val="24"/>
        </w:rPr>
        <w:t xml:space="preserve">: </w:t>
      </w:r>
      <w:r w:rsidR="00411092" w:rsidRPr="0042160A">
        <w:rPr>
          <w:rFonts w:ascii="Arial" w:hAnsi="Arial" w:cs="Arial"/>
          <w:b/>
          <w:bCs/>
          <w:sz w:val="24"/>
          <w:szCs w:val="24"/>
        </w:rPr>
        <w:t xml:space="preserve">Orden 956/2026, de 22 de mayo, de la Consejería de Cultura, Turismo y Deporte, por la que se aprueban las bases reguladoras de subvenciones destinadas a las asociaciones </w:t>
      </w:r>
      <w:r w:rsidR="00411092" w:rsidRPr="0042160A">
        <w:rPr>
          <w:rFonts w:ascii="Arial" w:hAnsi="Arial" w:cs="Arial"/>
          <w:b/>
          <w:bCs/>
          <w:sz w:val="24"/>
          <w:szCs w:val="24"/>
        </w:rPr>
        <w:lastRenderedPageBreak/>
        <w:t>deportivas madrileñas, excepto federaciones deportivas, por la participación en competiciones deportivas oficiales para personas con discapacidad, de carácter no profesional.</w:t>
      </w:r>
    </w:p>
    <w:p w14:paraId="5CF81259" w14:textId="77777777" w:rsidR="00753AC3" w:rsidRDefault="00753AC3" w:rsidP="00433A3F">
      <w:pPr>
        <w:pStyle w:val="Prrafodelista"/>
        <w:spacing w:after="160" w:line="278" w:lineRule="auto"/>
        <w:ind w:left="460"/>
        <w:contextualSpacing/>
        <w:jc w:val="both"/>
        <w:rPr>
          <w:rFonts w:ascii="Arial" w:hAnsi="Arial" w:cs="Arial"/>
          <w:b/>
          <w:bCs/>
          <w:sz w:val="24"/>
          <w:szCs w:val="24"/>
        </w:rPr>
      </w:pPr>
    </w:p>
    <w:p w14:paraId="33E4BB5F" w14:textId="77777777" w:rsidR="00265C7C" w:rsidRDefault="00411092" w:rsidP="00433A3F">
      <w:pPr>
        <w:pStyle w:val="Prrafodelista"/>
        <w:numPr>
          <w:ilvl w:val="1"/>
          <w:numId w:val="32"/>
        </w:numPr>
        <w:spacing w:after="160" w:line="278" w:lineRule="auto"/>
        <w:contextualSpacing/>
        <w:jc w:val="both"/>
        <w:rPr>
          <w:rFonts w:ascii="Arial" w:hAnsi="Arial" w:cs="Arial"/>
          <w:b/>
          <w:bCs/>
          <w:sz w:val="24"/>
          <w:szCs w:val="24"/>
        </w:rPr>
      </w:pPr>
      <w:r w:rsidRPr="00265C7C">
        <w:rPr>
          <w:rFonts w:ascii="Arial" w:hAnsi="Arial" w:cs="Arial"/>
          <w:b/>
          <w:bCs/>
          <w:sz w:val="24"/>
          <w:szCs w:val="24"/>
        </w:rPr>
        <w:t>ANDALUCÍA: Orden de 16 de marzo de 2026, por la que se establecen las bases reguladoras para la concesión de subvenciones, en régimen de concurrencia competitiva, dirigidas a clubes y secciones deportivas de Andalucía, para el fomento del deporte en edad escolar y de personas con discapacidad (modalidad FCD).</w:t>
      </w:r>
    </w:p>
    <w:p w14:paraId="68F4F996" w14:textId="77777777" w:rsidR="00753AC3" w:rsidRDefault="00753AC3" w:rsidP="00433A3F">
      <w:pPr>
        <w:pStyle w:val="Prrafodelista"/>
        <w:spacing w:after="160" w:line="278" w:lineRule="auto"/>
        <w:ind w:left="460"/>
        <w:contextualSpacing/>
        <w:jc w:val="both"/>
        <w:rPr>
          <w:rFonts w:ascii="Arial" w:hAnsi="Arial" w:cs="Arial"/>
          <w:b/>
          <w:bCs/>
          <w:sz w:val="24"/>
          <w:szCs w:val="24"/>
        </w:rPr>
      </w:pPr>
    </w:p>
    <w:p w14:paraId="1917D3AD" w14:textId="77777777" w:rsidR="00265C7C" w:rsidRDefault="00265C7C" w:rsidP="00433A3F">
      <w:pPr>
        <w:pStyle w:val="Prrafodelista"/>
        <w:numPr>
          <w:ilvl w:val="1"/>
          <w:numId w:val="32"/>
        </w:numPr>
        <w:spacing w:after="160" w:line="278" w:lineRule="auto"/>
        <w:contextualSpacing/>
        <w:jc w:val="both"/>
        <w:rPr>
          <w:rFonts w:ascii="Arial" w:hAnsi="Arial" w:cs="Arial"/>
          <w:b/>
          <w:bCs/>
          <w:sz w:val="24"/>
          <w:szCs w:val="24"/>
        </w:rPr>
      </w:pPr>
      <w:r>
        <w:rPr>
          <w:rFonts w:ascii="Arial" w:hAnsi="Arial" w:cs="Arial"/>
          <w:b/>
          <w:bCs/>
          <w:sz w:val="24"/>
          <w:szCs w:val="24"/>
        </w:rPr>
        <w:t xml:space="preserve">COMUNIDAD DE </w:t>
      </w:r>
      <w:r w:rsidR="00411092" w:rsidRPr="00265C7C">
        <w:rPr>
          <w:rFonts w:ascii="Arial" w:hAnsi="Arial" w:cs="Arial"/>
          <w:b/>
          <w:bCs/>
          <w:sz w:val="24"/>
          <w:szCs w:val="24"/>
        </w:rPr>
        <w:t>MADRID: Extracto de la Orden 385/2026, de 27 de febrero, de la Consejería de Familia, Juventud y Asuntos Sociales, por la que se convoca para el año 2026, las subvenciones a entidades sin ánimo de lucro para el desarrollo de actuaciones dirigidas a potenciar el deporte entre las mujeres con discapacidad, con especial atención a víctimas de violencia de género.</w:t>
      </w:r>
    </w:p>
    <w:p w14:paraId="422041B4" w14:textId="77777777" w:rsidR="00753AC3" w:rsidRDefault="00753AC3" w:rsidP="00433A3F">
      <w:pPr>
        <w:pStyle w:val="Prrafodelista"/>
        <w:spacing w:after="160" w:line="278" w:lineRule="auto"/>
        <w:ind w:left="460"/>
        <w:contextualSpacing/>
        <w:jc w:val="both"/>
        <w:rPr>
          <w:rFonts w:ascii="Arial" w:hAnsi="Arial" w:cs="Arial"/>
          <w:b/>
          <w:bCs/>
          <w:sz w:val="24"/>
          <w:szCs w:val="24"/>
        </w:rPr>
      </w:pPr>
    </w:p>
    <w:p w14:paraId="6A857685" w14:textId="77777777" w:rsidR="0006477C" w:rsidRDefault="00411092" w:rsidP="00433A3F">
      <w:pPr>
        <w:pStyle w:val="Prrafodelista"/>
        <w:numPr>
          <w:ilvl w:val="1"/>
          <w:numId w:val="32"/>
        </w:numPr>
        <w:spacing w:after="160" w:line="278" w:lineRule="auto"/>
        <w:contextualSpacing/>
        <w:jc w:val="both"/>
        <w:rPr>
          <w:rFonts w:ascii="Arial" w:hAnsi="Arial" w:cs="Arial"/>
          <w:b/>
          <w:bCs/>
          <w:sz w:val="24"/>
          <w:szCs w:val="24"/>
        </w:rPr>
      </w:pPr>
      <w:r w:rsidRPr="00265C7C">
        <w:rPr>
          <w:rFonts w:ascii="Arial" w:hAnsi="Arial" w:cs="Arial"/>
          <w:b/>
          <w:bCs/>
          <w:sz w:val="24"/>
          <w:szCs w:val="24"/>
        </w:rPr>
        <w:t>Castilla-La Mancha: Resolución de 16/04/2026, de la Consejería de Educación, Cultura y Deportes, por la que se convocan subvenciones para la organización de eventos deportivos de especial interés en Castilla-La Mancha 2026.</w:t>
      </w:r>
      <w:bookmarkEnd w:id="2"/>
    </w:p>
    <w:p w14:paraId="1D20CE3F" w14:textId="77777777" w:rsidR="00D41362" w:rsidRDefault="00D41362" w:rsidP="00433A3F">
      <w:pPr>
        <w:pStyle w:val="Prrafodelista"/>
        <w:spacing w:after="160" w:line="278" w:lineRule="auto"/>
        <w:ind w:left="0"/>
        <w:contextualSpacing/>
        <w:jc w:val="both"/>
        <w:rPr>
          <w:rFonts w:ascii="Arial" w:hAnsi="Arial" w:cs="Arial"/>
          <w:b/>
          <w:bCs/>
          <w:sz w:val="24"/>
          <w:szCs w:val="24"/>
        </w:rPr>
      </w:pPr>
    </w:p>
    <w:p w14:paraId="0E94F904" w14:textId="77777777" w:rsidR="00265C7C" w:rsidRPr="00597D88" w:rsidRDefault="00753AC3"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SANIDAD</w:t>
      </w:r>
    </w:p>
    <w:p w14:paraId="0421D5CA" w14:textId="77777777" w:rsidR="00753AC3" w:rsidRPr="0042160A" w:rsidRDefault="00753AC3" w:rsidP="00433A3F">
      <w:pPr>
        <w:jc w:val="both"/>
        <w:rPr>
          <w:rFonts w:ascii="Arial" w:hAnsi="Arial" w:cs="Arial"/>
          <w:sz w:val="24"/>
          <w:szCs w:val="24"/>
        </w:rPr>
      </w:pPr>
      <w:r w:rsidRPr="0042160A">
        <w:rPr>
          <w:rFonts w:ascii="Arial" w:hAnsi="Arial" w:cs="Arial"/>
          <w:sz w:val="24"/>
          <w:szCs w:val="24"/>
        </w:rPr>
        <w:t xml:space="preserve">A </w:t>
      </w:r>
      <w:r w:rsidRPr="0042160A">
        <w:rPr>
          <w:rFonts w:ascii="Arial" w:hAnsi="Arial" w:cs="Arial"/>
          <w:sz w:val="24"/>
          <w:szCs w:val="24"/>
          <w:u w:val="single"/>
        </w:rPr>
        <w:t>nivel estatal</w:t>
      </w:r>
      <w:r w:rsidRPr="0042160A">
        <w:rPr>
          <w:rFonts w:ascii="Arial" w:hAnsi="Arial" w:cs="Arial"/>
          <w:sz w:val="24"/>
          <w:szCs w:val="24"/>
        </w:rPr>
        <w:t>, cabe señalar en este periodo</w:t>
      </w:r>
      <w:r>
        <w:rPr>
          <w:rFonts w:ascii="Arial" w:hAnsi="Arial" w:cs="Arial"/>
          <w:sz w:val="24"/>
          <w:szCs w:val="24"/>
        </w:rPr>
        <w:t xml:space="preserve"> de aprobación, en materia de sanidad</w:t>
      </w:r>
      <w:r w:rsidRPr="0042160A">
        <w:rPr>
          <w:rFonts w:ascii="Arial" w:hAnsi="Arial" w:cs="Arial"/>
          <w:sz w:val="24"/>
          <w:szCs w:val="24"/>
        </w:rPr>
        <w:t>:</w:t>
      </w:r>
    </w:p>
    <w:p w14:paraId="211356DD" w14:textId="77777777" w:rsidR="00753AC3" w:rsidRDefault="00265C7C" w:rsidP="00433A3F">
      <w:pPr>
        <w:pStyle w:val="Prrafodelista"/>
        <w:numPr>
          <w:ilvl w:val="1"/>
          <w:numId w:val="35"/>
        </w:numPr>
        <w:spacing w:after="160" w:line="278" w:lineRule="auto"/>
        <w:contextualSpacing/>
        <w:jc w:val="both"/>
        <w:rPr>
          <w:rFonts w:ascii="Arial" w:hAnsi="Arial" w:cs="Arial"/>
          <w:b/>
          <w:bCs/>
          <w:sz w:val="24"/>
          <w:szCs w:val="24"/>
        </w:rPr>
      </w:pPr>
      <w:r w:rsidRPr="00265C7C">
        <w:rPr>
          <w:rFonts w:ascii="Arial" w:hAnsi="Arial" w:cs="Arial"/>
          <w:b/>
          <w:bCs/>
          <w:sz w:val="24"/>
          <w:szCs w:val="24"/>
        </w:rPr>
        <w:t xml:space="preserve">Real Decreto-ley 11/2026, de 12 de mayo, por el que se modifica la aportación de los usuarios y sus beneficiarios en la prestación farmacéutica ambulatoria. Introduce medidas sanitarias y económicas, incluyendo la exención de ciertos copagos farmacéuticos para personas con discapacidad contempladas en la normativa específica. </w:t>
      </w:r>
    </w:p>
    <w:p w14:paraId="7DF823C3" w14:textId="77777777" w:rsidR="00753AC3" w:rsidRDefault="00753AC3" w:rsidP="00433A3F">
      <w:pPr>
        <w:pStyle w:val="Prrafodelista"/>
        <w:spacing w:after="160" w:line="278" w:lineRule="auto"/>
        <w:ind w:left="460"/>
        <w:contextualSpacing/>
        <w:jc w:val="both"/>
        <w:rPr>
          <w:rFonts w:ascii="Arial" w:hAnsi="Arial" w:cs="Arial"/>
          <w:b/>
          <w:bCs/>
          <w:sz w:val="24"/>
          <w:szCs w:val="24"/>
        </w:rPr>
      </w:pPr>
    </w:p>
    <w:p w14:paraId="3380FAFC" w14:textId="77777777" w:rsidR="00265C7C" w:rsidRPr="00753AC3" w:rsidRDefault="00265C7C" w:rsidP="00433A3F">
      <w:pPr>
        <w:pStyle w:val="Prrafodelista"/>
        <w:numPr>
          <w:ilvl w:val="1"/>
          <w:numId w:val="35"/>
        </w:numPr>
        <w:spacing w:after="160" w:line="278" w:lineRule="auto"/>
        <w:contextualSpacing/>
        <w:jc w:val="both"/>
        <w:rPr>
          <w:rFonts w:ascii="Arial" w:hAnsi="Arial" w:cs="Arial"/>
          <w:b/>
          <w:bCs/>
          <w:sz w:val="24"/>
          <w:szCs w:val="24"/>
        </w:rPr>
      </w:pPr>
      <w:r w:rsidRPr="00753AC3">
        <w:rPr>
          <w:rFonts w:ascii="Arial" w:hAnsi="Arial" w:cs="Arial"/>
          <w:b/>
          <w:bCs/>
          <w:sz w:val="24"/>
          <w:szCs w:val="24"/>
        </w:rPr>
        <w:t>Real Decreto 415/2026, de 27 de mayo, por el que se regula la evaluación de tecnologías sanitarias. Exige que la evaluación incluya el análisis del impacto social y de la equidad, lo que implica estudiar cómo cada innovación afecta a colectivos con necesidades específicas, como las personas con discapacidad. Al mismo tiempo, la norma incorpora la participación de asociaciones de pacientes, permitiendo que entidades de discapacidad aporten evidencia y experiencia directa al proceso</w:t>
      </w:r>
    </w:p>
    <w:p w14:paraId="762954DC" w14:textId="77777777" w:rsidR="00265C7C" w:rsidRPr="00265C7C" w:rsidRDefault="00265C7C" w:rsidP="00433A3F">
      <w:pPr>
        <w:pStyle w:val="Prrafodelista"/>
        <w:spacing w:after="160" w:line="278" w:lineRule="auto"/>
        <w:contextualSpacing/>
        <w:jc w:val="both"/>
        <w:rPr>
          <w:rFonts w:ascii="Arial" w:hAnsi="Arial" w:cs="Arial"/>
          <w:b/>
          <w:bCs/>
          <w:sz w:val="24"/>
          <w:szCs w:val="24"/>
        </w:rPr>
      </w:pPr>
    </w:p>
    <w:p w14:paraId="2AA9686B" w14:textId="77777777" w:rsidR="00753AC3" w:rsidRPr="0042160A" w:rsidRDefault="00753AC3" w:rsidP="00433A3F">
      <w:pPr>
        <w:jc w:val="both"/>
        <w:rPr>
          <w:rFonts w:ascii="Arial" w:hAnsi="Arial" w:cs="Arial"/>
          <w:sz w:val="24"/>
          <w:szCs w:val="24"/>
        </w:rPr>
      </w:pPr>
      <w:r w:rsidRPr="0042160A">
        <w:rPr>
          <w:rFonts w:ascii="Arial" w:hAnsi="Arial" w:cs="Arial"/>
          <w:sz w:val="24"/>
          <w:szCs w:val="24"/>
          <w:u w:val="single"/>
        </w:rPr>
        <w:lastRenderedPageBreak/>
        <w:t>A nivel autonómico</w:t>
      </w:r>
      <w:r w:rsidRPr="0042160A">
        <w:rPr>
          <w:rFonts w:ascii="Arial" w:hAnsi="Arial" w:cs="Arial"/>
          <w:sz w:val="24"/>
          <w:szCs w:val="24"/>
        </w:rPr>
        <w:t xml:space="preserve"> destacar en:</w:t>
      </w:r>
    </w:p>
    <w:p w14:paraId="4017AB4F" w14:textId="77777777" w:rsidR="00923C4F" w:rsidRPr="009F70DF" w:rsidRDefault="00753AC3" w:rsidP="00433A3F">
      <w:pPr>
        <w:pStyle w:val="Prrafodelista"/>
        <w:numPr>
          <w:ilvl w:val="1"/>
          <w:numId w:val="35"/>
        </w:numPr>
        <w:spacing w:after="0"/>
        <w:jc w:val="both"/>
        <w:rPr>
          <w:rFonts w:ascii="Arial" w:hAnsi="Arial" w:cs="Arial"/>
          <w:b/>
          <w:bCs/>
          <w:color w:val="000000"/>
          <w:sz w:val="24"/>
          <w:szCs w:val="24"/>
        </w:rPr>
      </w:pPr>
      <w:r w:rsidRPr="00753AC3">
        <w:rPr>
          <w:rFonts w:ascii="Arial" w:hAnsi="Arial" w:cs="Arial"/>
          <w:b/>
          <w:bCs/>
          <w:color w:val="000000"/>
          <w:sz w:val="24"/>
          <w:szCs w:val="24"/>
        </w:rPr>
        <w:t>GALICIA: Ley 3/2026, de 30 de marzo, de modificación de la Ley 8/2008, de 10 de julio, de salud de Galicia, por la que se establecen medidas de prevención y protección integral contra la violencia en el Sistema de salud de Galicia.</w:t>
      </w:r>
      <w:r w:rsidR="00A60FC2">
        <w:rPr>
          <w:rFonts w:ascii="Arial" w:hAnsi="Arial" w:cs="Arial"/>
          <w:b/>
          <w:bCs/>
          <w:color w:val="000000"/>
          <w:sz w:val="24"/>
          <w:szCs w:val="24"/>
        </w:rPr>
        <w:t xml:space="preserve"> </w:t>
      </w:r>
      <w:r w:rsidR="00A60FC2" w:rsidRPr="00A60FC2">
        <w:rPr>
          <w:rFonts w:ascii="Arial" w:hAnsi="Arial" w:cs="Arial"/>
          <w:color w:val="000000"/>
          <w:sz w:val="24"/>
          <w:szCs w:val="24"/>
        </w:rPr>
        <w:t>Garantiza que los profesionales sanitarios estén protegidos ante actos de violencia basados en su sexo, rasgos personales, condición física o discapacidad.</w:t>
      </w:r>
    </w:p>
    <w:p w14:paraId="6713D8C1" w14:textId="77777777" w:rsidR="009F70DF" w:rsidRDefault="009F70DF" w:rsidP="00433A3F">
      <w:pPr>
        <w:pStyle w:val="Prrafodelista"/>
        <w:numPr>
          <w:ilvl w:val="1"/>
          <w:numId w:val="35"/>
        </w:numPr>
        <w:spacing w:after="0"/>
        <w:jc w:val="both"/>
        <w:rPr>
          <w:rFonts w:ascii="Arial" w:hAnsi="Arial" w:cs="Arial"/>
          <w:b/>
          <w:bCs/>
          <w:color w:val="000000"/>
          <w:sz w:val="24"/>
          <w:szCs w:val="24"/>
        </w:rPr>
      </w:pPr>
      <w:r>
        <w:rPr>
          <w:rFonts w:ascii="Arial" w:hAnsi="Arial" w:cs="Arial"/>
          <w:b/>
          <w:bCs/>
          <w:color w:val="000000"/>
          <w:sz w:val="24"/>
          <w:szCs w:val="24"/>
        </w:rPr>
        <w:t xml:space="preserve">NAVARRA: </w:t>
      </w:r>
      <w:r w:rsidRPr="009F70DF">
        <w:rPr>
          <w:rFonts w:ascii="Arial" w:hAnsi="Arial" w:cs="Arial"/>
          <w:b/>
          <w:bCs/>
          <w:color w:val="000000"/>
          <w:sz w:val="24"/>
          <w:szCs w:val="24"/>
        </w:rPr>
        <w:t>Resolución 345E/2026, de 27 de mayo, del director general de Salud, por la que se aprueba la convocatoria de subvenciones a fundaciones, cooperativas de iniciativa social y asociaciones sin ánimo de lucro para programas de salud de pacientes y familiares, dirigidos a la mejora de problemas de salud durante el periodo comprendido entre los días 1 de diciembre de 2025 y 31 de octubre de 2026.</w:t>
      </w:r>
    </w:p>
    <w:p w14:paraId="7F6F42E5" w14:textId="77777777" w:rsidR="00753AC3" w:rsidRDefault="00753AC3" w:rsidP="00433A3F">
      <w:pPr>
        <w:pStyle w:val="Prrafodelista"/>
        <w:spacing w:after="0"/>
        <w:ind w:left="0"/>
        <w:jc w:val="both"/>
        <w:rPr>
          <w:rFonts w:ascii="Arial" w:hAnsi="Arial" w:cs="Arial"/>
          <w:color w:val="000000"/>
          <w:sz w:val="24"/>
          <w:szCs w:val="24"/>
        </w:rPr>
      </w:pPr>
    </w:p>
    <w:p w14:paraId="6A6642C6" w14:textId="77777777" w:rsidR="00753AC3" w:rsidRPr="00597D88" w:rsidRDefault="00FC0476" w:rsidP="00433A3F">
      <w:pPr>
        <w:numPr>
          <w:ilvl w:val="0"/>
          <w:numId w:val="2"/>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EXPECTATIVA</w:t>
      </w:r>
      <w:r w:rsidR="00646120">
        <w:rPr>
          <w:rFonts w:ascii="Arial" w:hAnsi="Arial" w:cs="Arial"/>
          <w:b/>
          <w:color w:val="000000"/>
          <w:sz w:val="24"/>
          <w:szCs w:val="24"/>
          <w:lang w:val="es-ES_tradnl"/>
        </w:rPr>
        <w:t>S</w:t>
      </w:r>
      <w:r w:rsidRPr="00597D88">
        <w:rPr>
          <w:rFonts w:ascii="Arial" w:hAnsi="Arial" w:cs="Arial"/>
          <w:b/>
          <w:color w:val="000000"/>
          <w:sz w:val="24"/>
          <w:szCs w:val="24"/>
          <w:lang w:val="es-ES_tradnl"/>
        </w:rPr>
        <w:t xml:space="preserve"> NORMATIVA</w:t>
      </w:r>
      <w:r w:rsidR="00646120">
        <w:rPr>
          <w:rFonts w:ascii="Arial" w:hAnsi="Arial" w:cs="Arial"/>
          <w:b/>
          <w:color w:val="000000"/>
          <w:sz w:val="24"/>
          <w:szCs w:val="24"/>
          <w:lang w:val="es-ES_tradnl"/>
        </w:rPr>
        <w:t>S</w:t>
      </w:r>
    </w:p>
    <w:p w14:paraId="701CA23C" w14:textId="77777777" w:rsidR="00753AC3" w:rsidRPr="00D511B7" w:rsidRDefault="00D511B7" w:rsidP="00433A3F">
      <w:pPr>
        <w:pStyle w:val="Prrafodelista"/>
        <w:numPr>
          <w:ilvl w:val="1"/>
          <w:numId w:val="40"/>
        </w:numPr>
        <w:spacing w:after="0"/>
        <w:jc w:val="both"/>
        <w:rPr>
          <w:rFonts w:ascii="Arial" w:hAnsi="Arial" w:cs="Arial"/>
          <w:b/>
          <w:bCs/>
          <w:color w:val="000000"/>
          <w:sz w:val="24"/>
          <w:szCs w:val="24"/>
        </w:rPr>
      </w:pPr>
      <w:r w:rsidRPr="00D511B7">
        <w:rPr>
          <w:rFonts w:ascii="Arial" w:hAnsi="Arial" w:cs="Arial"/>
          <w:b/>
          <w:bCs/>
          <w:color w:val="000000"/>
          <w:sz w:val="24"/>
          <w:szCs w:val="24"/>
        </w:rPr>
        <w:t>Proyecto de Ley por el que se modifica el Texto Refundido de la Ley General de Derechos de las Personas con Discapacidad y de su Inclusión Social y la Ley 39/2006, de Promoción de la Autonomía Personal y Atención a las Personas en Situación de Dependencia.</w:t>
      </w:r>
      <w:r>
        <w:rPr>
          <w:rFonts w:ascii="Arial" w:hAnsi="Arial" w:cs="Arial"/>
          <w:b/>
          <w:bCs/>
          <w:color w:val="000000"/>
          <w:sz w:val="24"/>
          <w:szCs w:val="24"/>
        </w:rPr>
        <w:t xml:space="preserve"> </w:t>
      </w:r>
      <w:r w:rsidRPr="00D511B7">
        <w:rPr>
          <w:rFonts w:ascii="Arial" w:hAnsi="Arial" w:cs="Arial"/>
          <w:color w:val="000000"/>
          <w:sz w:val="24"/>
          <w:szCs w:val="24"/>
        </w:rPr>
        <w:t>Adapta el marco legal al artículo 49 CE y refuerza la accesibilidad universal y la autonomía personal.</w:t>
      </w:r>
    </w:p>
    <w:p w14:paraId="1588BEC0" w14:textId="77777777" w:rsidR="00D511B7" w:rsidRDefault="00D511B7" w:rsidP="00433A3F">
      <w:pPr>
        <w:pStyle w:val="Prrafodelista"/>
        <w:numPr>
          <w:ilvl w:val="1"/>
          <w:numId w:val="40"/>
        </w:numPr>
        <w:spacing w:after="0"/>
        <w:jc w:val="both"/>
        <w:rPr>
          <w:rFonts w:ascii="Arial" w:hAnsi="Arial" w:cs="Arial"/>
          <w:color w:val="000000"/>
          <w:sz w:val="24"/>
          <w:szCs w:val="24"/>
        </w:rPr>
      </w:pPr>
      <w:r w:rsidRPr="00D511B7">
        <w:rPr>
          <w:rFonts w:ascii="Arial" w:hAnsi="Arial" w:cs="Arial"/>
          <w:b/>
          <w:bCs/>
          <w:color w:val="000000"/>
          <w:sz w:val="24"/>
          <w:szCs w:val="24"/>
        </w:rPr>
        <w:t>Proyecto de Real Decreto por el que se aprueba el Reglamento Estatal de Accesibilidad Cognitiva</w:t>
      </w:r>
      <w:r>
        <w:rPr>
          <w:rFonts w:ascii="Arial" w:hAnsi="Arial" w:cs="Arial"/>
          <w:b/>
          <w:bCs/>
          <w:color w:val="000000"/>
          <w:sz w:val="24"/>
          <w:szCs w:val="24"/>
        </w:rPr>
        <w:t xml:space="preserve">. </w:t>
      </w:r>
      <w:r w:rsidRPr="00D511B7">
        <w:rPr>
          <w:rFonts w:ascii="Arial" w:hAnsi="Arial" w:cs="Arial"/>
          <w:color w:val="000000"/>
          <w:sz w:val="24"/>
          <w:szCs w:val="24"/>
        </w:rPr>
        <w:t>Establece criterios obligatorios de accesibilidad cognitiva en entornos, servicios y comunicaciones públicas.</w:t>
      </w:r>
    </w:p>
    <w:p w14:paraId="3A0A9568" w14:textId="77777777" w:rsidR="00FC0476" w:rsidRDefault="00D511B7" w:rsidP="00433A3F">
      <w:pPr>
        <w:pStyle w:val="Prrafodelista"/>
        <w:numPr>
          <w:ilvl w:val="1"/>
          <w:numId w:val="40"/>
        </w:numPr>
        <w:spacing w:after="0"/>
        <w:jc w:val="both"/>
        <w:rPr>
          <w:rFonts w:ascii="Arial" w:hAnsi="Arial" w:cs="Arial"/>
          <w:color w:val="000000"/>
          <w:sz w:val="24"/>
          <w:szCs w:val="24"/>
        </w:rPr>
      </w:pPr>
      <w:r w:rsidRPr="00D511B7">
        <w:rPr>
          <w:rFonts w:ascii="Arial" w:hAnsi="Arial" w:cs="Arial"/>
          <w:b/>
          <w:bCs/>
          <w:color w:val="000000"/>
          <w:sz w:val="24"/>
          <w:szCs w:val="24"/>
        </w:rPr>
        <w:t>Proyecto de Real Decreto por el que se regulan la Tarjeta Europea de Discapacidad y la Tarjeta Europea de Estacionamiento para Personas con Discapacidad.</w:t>
      </w:r>
      <w:r>
        <w:rPr>
          <w:rFonts w:ascii="Arial" w:hAnsi="Arial" w:cs="Arial"/>
          <w:b/>
          <w:bCs/>
          <w:color w:val="000000"/>
          <w:sz w:val="24"/>
          <w:szCs w:val="24"/>
        </w:rPr>
        <w:t xml:space="preserve"> </w:t>
      </w:r>
      <w:r w:rsidRPr="00D511B7">
        <w:rPr>
          <w:rFonts w:ascii="Arial" w:hAnsi="Arial" w:cs="Arial"/>
          <w:color w:val="000000"/>
          <w:sz w:val="24"/>
          <w:szCs w:val="24"/>
        </w:rPr>
        <w:t>Regula la expedición y uso de las tarjetas europeas, garantizando su validez en todos los Estados miembros.</w:t>
      </w:r>
    </w:p>
    <w:p w14:paraId="43127F76" w14:textId="77777777" w:rsidR="00D511B7" w:rsidRDefault="00D511B7" w:rsidP="00433A3F">
      <w:pPr>
        <w:pStyle w:val="Prrafodelista"/>
        <w:numPr>
          <w:ilvl w:val="1"/>
          <w:numId w:val="40"/>
        </w:numPr>
        <w:spacing w:after="0"/>
        <w:jc w:val="both"/>
        <w:rPr>
          <w:rFonts w:ascii="Arial" w:hAnsi="Arial" w:cs="Arial"/>
          <w:color w:val="000000"/>
          <w:sz w:val="24"/>
          <w:szCs w:val="24"/>
        </w:rPr>
      </w:pPr>
      <w:r w:rsidRPr="00D511B7">
        <w:rPr>
          <w:rFonts w:ascii="Arial" w:hAnsi="Arial" w:cs="Arial"/>
          <w:b/>
          <w:bCs/>
          <w:color w:val="000000"/>
          <w:sz w:val="24"/>
          <w:szCs w:val="24"/>
        </w:rPr>
        <w:t>Proyecto de Real Decreto por el que se regula el etiquetado inclusivo y accesible de productos de consumo.</w:t>
      </w:r>
      <w:r>
        <w:rPr>
          <w:rFonts w:ascii="Arial" w:hAnsi="Arial" w:cs="Arial"/>
          <w:b/>
          <w:bCs/>
          <w:color w:val="000000"/>
          <w:sz w:val="24"/>
          <w:szCs w:val="24"/>
        </w:rPr>
        <w:t xml:space="preserve"> </w:t>
      </w:r>
      <w:r w:rsidRPr="00D511B7">
        <w:rPr>
          <w:rFonts w:ascii="Arial" w:hAnsi="Arial" w:cs="Arial"/>
          <w:color w:val="000000"/>
          <w:sz w:val="24"/>
          <w:szCs w:val="24"/>
        </w:rPr>
        <w:t>Define estándares de accesibilidad en el etiquetado, incluyendo braille, lectura fácil y formatos perceptibles.</w:t>
      </w:r>
    </w:p>
    <w:p w14:paraId="37B0B30D" w14:textId="77777777" w:rsidR="00D511B7" w:rsidRPr="00D511B7" w:rsidRDefault="00D511B7" w:rsidP="00433A3F">
      <w:pPr>
        <w:numPr>
          <w:ilvl w:val="1"/>
          <w:numId w:val="40"/>
        </w:numPr>
        <w:jc w:val="both"/>
        <w:rPr>
          <w:rFonts w:ascii="Arial" w:hAnsi="Arial" w:cs="Arial"/>
          <w:color w:val="000000"/>
          <w:sz w:val="24"/>
          <w:szCs w:val="24"/>
        </w:rPr>
      </w:pPr>
      <w:r w:rsidRPr="00D511B7">
        <w:rPr>
          <w:rFonts w:ascii="Arial" w:hAnsi="Arial" w:cs="Arial"/>
          <w:b/>
          <w:bCs/>
          <w:color w:val="000000"/>
          <w:sz w:val="24"/>
          <w:szCs w:val="24"/>
        </w:rPr>
        <w:t>Proposición de Ley Orgánica de protección de la infancia y la adolescencia frente a la violencia vicaria</w:t>
      </w:r>
      <w:r w:rsidRPr="00D511B7">
        <w:rPr>
          <w:rFonts w:ascii="Arial" w:hAnsi="Arial" w:cs="Arial"/>
          <w:color w:val="000000"/>
          <w:sz w:val="24"/>
          <w:szCs w:val="24"/>
        </w:rPr>
        <w:t>. Incluye medidas específicas de protección para niños y adolescentes con discapacidad.</w:t>
      </w:r>
    </w:p>
    <w:p w14:paraId="10D1C3C1" w14:textId="77777777" w:rsidR="00FC0476" w:rsidRDefault="00D511B7" w:rsidP="00433A3F">
      <w:pPr>
        <w:pStyle w:val="Prrafodelista"/>
        <w:numPr>
          <w:ilvl w:val="1"/>
          <w:numId w:val="40"/>
        </w:numPr>
        <w:spacing w:after="0"/>
        <w:jc w:val="both"/>
        <w:rPr>
          <w:rFonts w:ascii="Arial" w:hAnsi="Arial" w:cs="Arial"/>
          <w:b/>
          <w:bCs/>
          <w:color w:val="000000"/>
          <w:sz w:val="24"/>
          <w:szCs w:val="24"/>
        </w:rPr>
      </w:pPr>
      <w:r w:rsidRPr="00D511B7">
        <w:rPr>
          <w:rFonts w:ascii="Arial" w:hAnsi="Arial" w:cs="Arial"/>
          <w:b/>
          <w:bCs/>
          <w:color w:val="000000"/>
          <w:sz w:val="24"/>
          <w:szCs w:val="24"/>
        </w:rPr>
        <w:t>Proyecto de Ley de Gestión Pública e Integridad del Sistema Nacional de Salud</w:t>
      </w:r>
      <w:r>
        <w:rPr>
          <w:rFonts w:ascii="Arial" w:hAnsi="Arial" w:cs="Arial"/>
          <w:b/>
          <w:bCs/>
          <w:color w:val="000000"/>
          <w:sz w:val="24"/>
          <w:szCs w:val="24"/>
        </w:rPr>
        <w:t>.</w:t>
      </w:r>
      <w:r w:rsidR="0037090F">
        <w:rPr>
          <w:rFonts w:ascii="Arial" w:hAnsi="Arial" w:cs="Arial"/>
          <w:b/>
          <w:bCs/>
          <w:color w:val="000000"/>
          <w:sz w:val="24"/>
          <w:szCs w:val="24"/>
        </w:rPr>
        <w:t xml:space="preserve"> </w:t>
      </w:r>
      <w:r w:rsidR="0037090F" w:rsidRPr="0037090F">
        <w:rPr>
          <w:rFonts w:ascii="Arial" w:hAnsi="Arial" w:cs="Arial"/>
          <w:color w:val="000000"/>
          <w:sz w:val="24"/>
          <w:szCs w:val="24"/>
        </w:rPr>
        <w:t>Deroga la Ley 15/1997 y limita la colaboración pública</w:t>
      </w:r>
      <w:r w:rsidR="0037090F" w:rsidRPr="0037090F">
        <w:rPr>
          <w:rFonts w:ascii="Cambria Math" w:hAnsi="Cambria Math" w:cs="Cambria Math"/>
          <w:color w:val="000000"/>
          <w:sz w:val="24"/>
          <w:szCs w:val="24"/>
        </w:rPr>
        <w:t>‑</w:t>
      </w:r>
      <w:r w:rsidR="0037090F" w:rsidRPr="0037090F">
        <w:rPr>
          <w:rFonts w:ascii="Arial" w:hAnsi="Arial" w:cs="Arial"/>
          <w:color w:val="000000"/>
          <w:sz w:val="24"/>
          <w:szCs w:val="24"/>
        </w:rPr>
        <w:t>privada, permitiendo la gestión indirecta solo cuando no sea posible la gestión directa o mediante consorcios públicos. Refuerza la integridad y la gobernanza del Sistema Nacional de Salud</w:t>
      </w:r>
      <w:r w:rsidR="0037090F" w:rsidRPr="0037090F">
        <w:rPr>
          <w:rFonts w:ascii="Arial" w:hAnsi="Arial" w:cs="Arial"/>
          <w:b/>
          <w:bCs/>
          <w:color w:val="000000"/>
          <w:sz w:val="24"/>
          <w:szCs w:val="24"/>
        </w:rPr>
        <w:t>.</w:t>
      </w:r>
    </w:p>
    <w:p w14:paraId="5A4F8845" w14:textId="77777777" w:rsidR="0037090F" w:rsidRDefault="0037090F" w:rsidP="00433A3F">
      <w:pPr>
        <w:pStyle w:val="Prrafodelista"/>
        <w:numPr>
          <w:ilvl w:val="1"/>
          <w:numId w:val="40"/>
        </w:numPr>
        <w:spacing w:after="0"/>
        <w:jc w:val="both"/>
        <w:rPr>
          <w:rFonts w:ascii="Arial" w:hAnsi="Arial" w:cs="Arial"/>
          <w:color w:val="000000"/>
          <w:sz w:val="24"/>
          <w:szCs w:val="24"/>
        </w:rPr>
      </w:pPr>
      <w:r w:rsidRPr="0037090F">
        <w:rPr>
          <w:rFonts w:ascii="Arial" w:hAnsi="Arial" w:cs="Arial"/>
          <w:b/>
          <w:bCs/>
          <w:color w:val="000000"/>
          <w:sz w:val="24"/>
          <w:szCs w:val="24"/>
        </w:rPr>
        <w:lastRenderedPageBreak/>
        <w:t>Proposición de Ley de modificación del texto refundido de la Ley sobre Tráfico, Circulación de Vehículos a Motor y Seguridad Vial, para reforzar el régimen sancionador por el uso indebido de plazas de estacionamiento reservadas a personas con discapacidad</w:t>
      </w:r>
      <w:r w:rsidRPr="0037090F">
        <w:rPr>
          <w:rFonts w:ascii="Arial" w:hAnsi="Arial" w:cs="Arial"/>
          <w:color w:val="000000"/>
          <w:sz w:val="24"/>
          <w:szCs w:val="24"/>
        </w:rPr>
        <w:t>. Refuerza la protección de la movilidad de las personas con discapacidad mediante sanciones más estrictas.</w:t>
      </w:r>
    </w:p>
    <w:p w14:paraId="382BB202" w14:textId="77777777" w:rsidR="0037090F" w:rsidRPr="0037090F" w:rsidRDefault="0037090F" w:rsidP="00433A3F">
      <w:pPr>
        <w:pStyle w:val="Prrafodelista"/>
        <w:numPr>
          <w:ilvl w:val="1"/>
          <w:numId w:val="40"/>
        </w:numPr>
        <w:spacing w:after="0"/>
        <w:jc w:val="both"/>
        <w:rPr>
          <w:rFonts w:ascii="Arial" w:hAnsi="Arial" w:cs="Arial"/>
          <w:color w:val="000000"/>
          <w:sz w:val="24"/>
          <w:szCs w:val="24"/>
        </w:rPr>
      </w:pPr>
      <w:r w:rsidRPr="0037090F">
        <w:rPr>
          <w:rFonts w:ascii="Arial" w:hAnsi="Arial" w:cs="Arial"/>
          <w:b/>
          <w:bCs/>
          <w:color w:val="000000"/>
          <w:sz w:val="24"/>
          <w:szCs w:val="24"/>
        </w:rPr>
        <w:t>Proposición de Ley para reforzar las sanciones por incumplimiento de la cuota del 2% de empleo para personas con discapacidad.</w:t>
      </w:r>
      <w:r>
        <w:rPr>
          <w:rFonts w:ascii="Arial" w:hAnsi="Arial" w:cs="Arial"/>
          <w:b/>
          <w:bCs/>
          <w:color w:val="000000"/>
          <w:sz w:val="24"/>
          <w:szCs w:val="24"/>
        </w:rPr>
        <w:t xml:space="preserve"> </w:t>
      </w:r>
      <w:r w:rsidRPr="0037090F">
        <w:rPr>
          <w:rFonts w:ascii="Arial" w:hAnsi="Arial" w:cs="Arial"/>
          <w:color w:val="000000"/>
          <w:sz w:val="24"/>
          <w:szCs w:val="24"/>
        </w:rPr>
        <w:t>Su objetivo es garantizar el cumplimiento efectivo de la reserva de empleo, incrementando las sanciones y los mecanismos de control.</w:t>
      </w:r>
    </w:p>
    <w:p w14:paraId="7F58C2A0" w14:textId="77777777" w:rsidR="00FC0476" w:rsidRPr="0037090F" w:rsidRDefault="00FC0476" w:rsidP="00433A3F">
      <w:pPr>
        <w:pStyle w:val="Prrafodelista"/>
        <w:spacing w:after="0"/>
        <w:ind w:left="0"/>
        <w:jc w:val="both"/>
        <w:rPr>
          <w:rFonts w:ascii="Arial" w:hAnsi="Arial" w:cs="Arial"/>
          <w:color w:val="000000"/>
          <w:sz w:val="24"/>
          <w:szCs w:val="24"/>
        </w:rPr>
      </w:pPr>
    </w:p>
    <w:p w14:paraId="0B2F7468" w14:textId="77777777" w:rsidR="00BF2096" w:rsidRPr="0042160A" w:rsidRDefault="00BF2096" w:rsidP="00413FEC">
      <w:pPr>
        <w:shd w:val="clear" w:color="auto" w:fill="F6C5AC"/>
        <w:spacing w:after="0" w:line="240" w:lineRule="auto"/>
        <w:jc w:val="center"/>
        <w:rPr>
          <w:rFonts w:ascii="Arial" w:eastAsia="Calibri" w:hAnsi="Arial" w:cs="Arial"/>
          <w:b/>
          <w:sz w:val="24"/>
          <w:szCs w:val="24"/>
        </w:rPr>
      </w:pPr>
      <w:r w:rsidRPr="0042160A">
        <w:rPr>
          <w:rFonts w:ascii="Arial" w:eastAsia="Calibri" w:hAnsi="Arial" w:cs="Arial"/>
          <w:b/>
          <w:sz w:val="24"/>
          <w:szCs w:val="24"/>
        </w:rPr>
        <w:t>II. NORMATIVA EUROPEA</w:t>
      </w:r>
    </w:p>
    <w:p w14:paraId="36916C0F" w14:textId="77777777" w:rsidR="00BF2096" w:rsidRPr="0042160A" w:rsidRDefault="00BF2096" w:rsidP="00433A3F">
      <w:pPr>
        <w:pStyle w:val="Prrafodelista1"/>
        <w:ind w:left="0"/>
        <w:jc w:val="both"/>
        <w:rPr>
          <w:rFonts w:ascii="Arial" w:hAnsi="Arial" w:cs="Arial"/>
          <w:b/>
          <w:color w:val="FF0000"/>
          <w:sz w:val="24"/>
          <w:szCs w:val="24"/>
          <w:u w:val="single"/>
          <w:lang w:val="es-ES_tradnl"/>
        </w:rPr>
      </w:pPr>
    </w:p>
    <w:p w14:paraId="03EB50B9" w14:textId="77777777" w:rsidR="00067C05" w:rsidRPr="00597D88" w:rsidRDefault="00DA0F73" w:rsidP="00433A3F">
      <w:pPr>
        <w:numPr>
          <w:ilvl w:val="0"/>
          <w:numId w:val="11"/>
        </w:numPr>
        <w:shd w:val="clear" w:color="auto" w:fill="A5C9EB"/>
        <w:spacing w:after="160" w:line="259" w:lineRule="auto"/>
        <w:jc w:val="both"/>
        <w:rPr>
          <w:rFonts w:ascii="Arial" w:hAnsi="Arial" w:cs="Arial"/>
          <w:b/>
          <w:color w:val="000000"/>
          <w:sz w:val="24"/>
          <w:szCs w:val="24"/>
        </w:rPr>
      </w:pPr>
      <w:r w:rsidRPr="00597D88">
        <w:rPr>
          <w:rFonts w:ascii="Arial" w:hAnsi="Arial" w:cs="Arial"/>
          <w:b/>
          <w:color w:val="000000"/>
          <w:sz w:val="24"/>
          <w:szCs w:val="24"/>
          <w:lang w:val="es-ES_tradnl"/>
        </w:rPr>
        <w:t>INTRODUCCIÓN</w:t>
      </w:r>
    </w:p>
    <w:p w14:paraId="75847171" w14:textId="1EA7A2D3" w:rsidR="004B2F68" w:rsidRPr="0042160A" w:rsidRDefault="004B2F68" w:rsidP="00433A3F">
      <w:pPr>
        <w:jc w:val="both"/>
        <w:rPr>
          <w:rFonts w:ascii="Arial" w:hAnsi="Arial" w:cs="Arial"/>
          <w:sz w:val="24"/>
          <w:szCs w:val="24"/>
          <w:lang w:val="es-419"/>
        </w:rPr>
      </w:pPr>
      <w:r w:rsidRPr="0042160A">
        <w:rPr>
          <w:rFonts w:ascii="Arial" w:hAnsi="Arial" w:cs="Arial"/>
          <w:sz w:val="24"/>
          <w:szCs w:val="24"/>
          <w:lang w:val="es-419"/>
        </w:rPr>
        <w:t>El primer semestre de 2026, bajo Presidencia Chipriota, ha sido especialmente intenso en el frente político y regulatorio de la U</w:t>
      </w:r>
      <w:r w:rsidR="00C94F25">
        <w:rPr>
          <w:rFonts w:ascii="Arial" w:hAnsi="Arial" w:cs="Arial"/>
          <w:sz w:val="24"/>
          <w:szCs w:val="24"/>
          <w:lang w:val="es-419"/>
        </w:rPr>
        <w:t>E</w:t>
      </w:r>
      <w:r w:rsidRPr="0042160A">
        <w:rPr>
          <w:rFonts w:ascii="Arial" w:hAnsi="Arial" w:cs="Arial"/>
          <w:sz w:val="24"/>
          <w:szCs w:val="24"/>
          <w:lang w:val="es-419"/>
        </w:rPr>
        <w:t xml:space="preserve">. Por un lado, este semestre ha visto la adopción de la revisión de dos instrumentos claves para nuestra organización, como lo han sido la revisión de la Estrategia Europea de Discapacidad y del Plan de Acción de Economía Social. Con ambos instrumentos y con la reciente adopción de la Nueva Estrategia Europea contra la Pobreza y la Estrategia de Equidad Intergeneracional, lo social ha adquirido un mayor protagonismo en Bruselas, lo que suponen buenas noticias. </w:t>
      </w:r>
    </w:p>
    <w:p w14:paraId="7500EAA4" w14:textId="773E6BD1" w:rsidR="004B2F68" w:rsidRPr="0042160A" w:rsidRDefault="004B2F68" w:rsidP="00433A3F">
      <w:pPr>
        <w:jc w:val="both"/>
        <w:rPr>
          <w:rFonts w:ascii="Arial" w:hAnsi="Arial" w:cs="Arial"/>
          <w:sz w:val="24"/>
          <w:szCs w:val="24"/>
          <w:lang w:val="es-419"/>
        </w:rPr>
      </w:pPr>
      <w:r w:rsidRPr="0042160A">
        <w:rPr>
          <w:rFonts w:ascii="Arial" w:hAnsi="Arial" w:cs="Arial"/>
          <w:sz w:val="24"/>
          <w:szCs w:val="24"/>
          <w:lang w:val="es-419"/>
        </w:rPr>
        <w:t>Por el otro, la tramitación y negociación del Marco Financiero Plurianual 2028-2034 (MFP) ha continuado su curso, cabiendo destacar el apoyo del Parlamento Europeo a que se mantenga el Fondo Social Europeo como un instrumento autónomo y con recursos reforzados. Se trata igualmente de una buena noticia de cara a una eventual renovación de nuestro Programa Operativo pero queda condicionada al acuerdo con el Consejo, que es reticente a nuestras tesis. En cualquier caso, el nuevo MFP verá la renovación de AccessibleEU</w:t>
      </w:r>
      <w:r w:rsidR="007F6C6D">
        <w:rPr>
          <w:rFonts w:ascii="Arial" w:hAnsi="Arial" w:cs="Arial"/>
          <w:sz w:val="24"/>
          <w:szCs w:val="24"/>
          <w:lang w:val="es-419"/>
        </w:rPr>
        <w:t>.</w:t>
      </w:r>
    </w:p>
    <w:p w14:paraId="3F3699AD" w14:textId="77777777" w:rsidR="004B2F68" w:rsidRPr="0042160A" w:rsidRDefault="004B2F68" w:rsidP="00433A3F">
      <w:pPr>
        <w:jc w:val="both"/>
        <w:rPr>
          <w:rFonts w:ascii="Arial" w:hAnsi="Arial" w:cs="Arial"/>
          <w:sz w:val="24"/>
          <w:szCs w:val="24"/>
          <w:lang w:val="es-419"/>
        </w:rPr>
      </w:pPr>
      <w:r w:rsidRPr="0042160A">
        <w:rPr>
          <w:rFonts w:ascii="Arial" w:hAnsi="Arial" w:cs="Arial"/>
          <w:sz w:val="24"/>
          <w:szCs w:val="24"/>
          <w:lang w:val="es-419"/>
        </w:rPr>
        <w:t>A continuación, examinamos más en detalle dichas iniciativas y dosieres legislativos, así como otros que bien se han adoptado durante estos últimos seis meses o bien han continuado su tramitación por el largo y complejo proceso legislativo comunitario.</w:t>
      </w:r>
    </w:p>
    <w:p w14:paraId="2CB264AE" w14:textId="77777777" w:rsidR="009E6D3E" w:rsidRPr="00597D88" w:rsidRDefault="00DA0F73" w:rsidP="00433A3F">
      <w:pPr>
        <w:numPr>
          <w:ilvl w:val="0"/>
          <w:numId w:val="11"/>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NUEVAS INICIATIVAS</w:t>
      </w:r>
    </w:p>
    <w:p w14:paraId="52CD3117" w14:textId="77777777" w:rsidR="004B2F68" w:rsidRPr="0042160A" w:rsidRDefault="004B2F68"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2.1 </w:t>
      </w:r>
      <w:r w:rsidRPr="0042160A">
        <w:rPr>
          <w:rFonts w:ascii="Arial" w:eastAsia="Calibri" w:hAnsi="Arial" w:cs="Arial"/>
          <w:b/>
          <w:sz w:val="24"/>
          <w:szCs w:val="24"/>
          <w:u w:val="single"/>
        </w:rPr>
        <w:t>Presidencia Irlandesa del Consejo de la UE</w:t>
      </w:r>
    </w:p>
    <w:p w14:paraId="24E11CF1"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El 1 de julio de 2026, Irlanda asumirá la Presidencia rotatoria del Consejo de la Unión Europea, en relevo de Chipre, y la ejercerá hasta el 31 de diciembre. Se trata de la octava Presidencia irlandesa desde su adhesión a las Comunidades Europeas, y con ella se inicia un nuevo trío de presidencias que completarán </w:t>
      </w:r>
      <w:r w:rsidRPr="0042160A">
        <w:rPr>
          <w:rFonts w:ascii="Arial" w:eastAsia="Calibri" w:hAnsi="Arial" w:cs="Arial"/>
          <w:bCs/>
          <w:sz w:val="24"/>
          <w:szCs w:val="24"/>
        </w:rPr>
        <w:lastRenderedPageBreak/>
        <w:t>Lituania (primer semestre de 2027) y Grecia (segundo semestre de 2027). Durante el semestre, Irlanda presidirá cerca de 180 reuniones del Consejo en Bruselas y Luxemburgo y acogerá en su territorio diversos encuentros de alto nivel, entre ellos una reunión de la Comunidad Política Europea, que congrega a casi medio centenar de países del continente.</w:t>
      </w:r>
    </w:p>
    <w:p w14:paraId="2B5F73CB" w14:textId="77777777" w:rsidR="004B2F68" w:rsidRPr="0042160A" w:rsidRDefault="004B2F68"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2.2 </w:t>
      </w:r>
      <w:r w:rsidRPr="0042160A">
        <w:rPr>
          <w:rFonts w:ascii="Arial" w:eastAsia="Calibri" w:hAnsi="Arial" w:cs="Arial"/>
          <w:b/>
          <w:sz w:val="24"/>
          <w:szCs w:val="24"/>
          <w:u w:val="single"/>
        </w:rPr>
        <w:t>Revisión de la Estrategia Europea para los Derechos de las Personas con Discapacidad</w:t>
      </w:r>
    </w:p>
    <w:p w14:paraId="07E9EED8"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El 6 de mayo, la Vicepresidenta Ejecutiva para los Derechos Sociales, Roxana Mînzatu, presentó un nuevo paquete social destinado a erradicar la pobreza y a promover los derechos de las personas con discapacidad (ver punto 2.2), que aborda de forma integral el impulso de la accesibilidad y la inclusión, la pobreza infantil y la lucha contra la exclusión en materia de vivienda. En el marco del paquete, la Comisión Europea hizo pública su Comunicación sobre el refuerzo de la Estrategia para los Derechos de las Personas con Discapacidad hasta 2030, en la que reconoce que, alcanzado el ecuador de su aplicación, la UE debe intensificar sus esfuerzos. </w:t>
      </w:r>
    </w:p>
    <w:p w14:paraId="347C7B82"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La Comunicación se articula en torno a tres ejes. El primero, la accesibilidad, sitúa entre sus prioridades la aplicación efectiva de AccessibleEU —considerada una de las legislaciones clave de la Estrategia— y el seguimiento de la aplicación del resto de la normativa, junto con un ambicioso conjunto de medidas para mejorar la accesibilidad del transporte: la revisión de las especificaciones técnicas de interoperabilidad ferroviaria relativas a las personas con movilidad reducida, la actualización del material de referencia sobre movilidad urbana sostenible, la revisión de las disposiciones de accesibilidad en el transporte marítimo y la cooperación con el sector aéreo para mejorar la experiencia de viaje. Se prevé asimismo el despliegue efectivo de las tarjetas europeas de discapacidad y de estacionamiento en formato digital —con códigos QR, medidas antifraude y requisitos de interoperabilidad entre Estados miembros— y se recuerda que la revisión de la Directiva sobre Contratación Pública debería reiterar la obligación de adquirir bienes y servicios accesibles.</w:t>
      </w:r>
    </w:p>
    <w:p w14:paraId="269AF60E"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El segundo eje, el empoderamiento y la inclusión, prevé la creación de una Alianza Europea para la Vida Independiente que facilite la puesta en marcha de centros nacionales y locales, con el apoyo del Fondo Social Europeo Plus (FSE+) y del Fondo Europeo de Desarrollo Regional (FEDER). En el ámbito del empleo, la Comisión reconoce la necesidad de empoderar a la economía social como puerta de entrada al mercado laboral, mejorar la implementación del Paquete de Empleo para las Personas con Discapacidad —compartiendo buenas prácticas y evaluaciones sobre los ajustes razonables— y trabajar con los Comités de Protección Social y de Empleo del Consejo en la fijación de objetivos nacionales de empleo para las personas con discapacidad.</w:t>
      </w:r>
    </w:p>
    <w:p w14:paraId="21DE4A09" w14:textId="3BBCDD0A"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lastRenderedPageBreak/>
        <w:t xml:space="preserve">El tercer eje refuerza la Disability Platform, mediante un enfoque de coproducción y una mayor cooperación con los Estados miembros, con una integración más transversal de la discapacidad en todas las áreas políticas y la promoción de la participación de la comunidad de personas con discapacidad en la elaboración de las políticas, en consonancia con la Estrategia de la UE para la Sociedad Civil. La Comisión insta además a los Estados miembros a compartir buenas prácticas y a intercambiar información sobre los avances nacionales a través de la Plataforma. De cara al futuro, seguirá apoyando a los Estados miembros en la aplicación plena y efectiva de la legislación vigente en materia de discapacidad y presentará un marco de seguimiento actualizado. </w:t>
      </w:r>
    </w:p>
    <w:p w14:paraId="67CAF1AA" w14:textId="77777777" w:rsidR="004B2F68" w:rsidRPr="0042160A" w:rsidRDefault="004B2F68"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2.3 </w:t>
      </w:r>
      <w:r w:rsidRPr="0042160A">
        <w:rPr>
          <w:rFonts w:ascii="Arial" w:eastAsia="Calibri" w:hAnsi="Arial" w:cs="Arial"/>
          <w:b/>
          <w:sz w:val="24"/>
          <w:szCs w:val="24"/>
          <w:u w:val="single"/>
        </w:rPr>
        <w:t>Estrategia Europea contra la Pobreza</w:t>
      </w:r>
    </w:p>
    <w:p w14:paraId="6FA60203" w14:textId="57788E64"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En el marco del mismo paquete social presentado el 6 de mayo mencionado en el punto anterior, la Vicepresidenta Ejecutiva para los Derechos Sociales, Roxana Mînzatu, presentó la nueva Estrategia Europea contra la Pobreza. La nueva Estrategia fija el objetivo de erradicarla para 2050 y de avanzar hacia la meta intermedia de reducir en al menos 15 millones el número de personas en riesgo de pobreza o exclusión social para 2030, combinando inclusión activa, acceso a servicios esenciales y apoyo a las rentas, con especial atención a los grupos vulnerables y mediante la colaboración entre la UE, las autoridades nacionales, regionales y locales y la sociedad civil. A continuación se analizan las iniciativas más relevantes.</w:t>
      </w:r>
    </w:p>
    <w:p w14:paraId="4EA82593"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En materia de empleo, la Comisión lanzará en la segunda mitad de 2026 una consulta de primera fase a los interlocutores sociales europeos sobre la posible orientación de la acción de la UE para apoyar la activación de las personas excluidas del mercado laboral. Reconoce, además, que las personas con discapacidad requieren medidas específicas, que se articularán mediante un refuerzo del Paquete de Empleo para las Personas con Discapacidad, en línea con la Comunicación sobre el refuerzo de la Estrategia para los Derechos de las Personas con Discapacidad hasta 2030. La Comisión seguirá apoyando asimismo la economía social y la microfinanciación, por su papel clave en la creación de oportunidades de empleo y autoempleo para las personas en situación de pobreza, lo que incluirá evaluar el papel del apoyo financiero público en la puesta en marcha y el desarrollo de los actores de la economía social. Por último, en 2027 la Comisión y el Comité de Protección Social publicarán informes sobre la adecuación de la protección social en la vejez y los mecanismos nacionales contra la pobreza en la tercera edad, que servirán de base para reformas en pensiones y cuidados de larga duración.</w:t>
      </w:r>
    </w:p>
    <w:p w14:paraId="23B6553E"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En cuanto a la financiación, el Marco Financiero Plurianual 2028-2034 prevé destinar al menos el 14 % de los Planes de Asociación Nacionales y Regionales a objetivos sociales, centrados en la inclusión social, la ayuda material básica, la </w:t>
      </w:r>
      <w:r w:rsidRPr="0042160A">
        <w:rPr>
          <w:rFonts w:ascii="Arial" w:eastAsia="Calibri" w:hAnsi="Arial" w:cs="Arial"/>
          <w:bCs/>
          <w:sz w:val="24"/>
          <w:szCs w:val="24"/>
        </w:rPr>
        <w:lastRenderedPageBreak/>
        <w:t>lucha contra la pobreza infantil, además de apoyar la economía social y la microfinanciación a través de un nuevo instrumento de la UE. Se refuerza también el papel del sector privado, con el desarrollo de un marco voluntario para la inversión social en cooperación con la OCDE y la creación, en 2026, de una Coalición contra la Pobreza que reunirá a empresas y organizaciones filantrópicas para fomentar la cooperación y los compromisos concretos en favor de la inclusión social. La cooperación con los bancos multilaterales se intensifica: el Banco Europeo de Inversiones prevé movilizar alrededor de 22.000 millones de euros en infraestructuras sociales en 2026-2027, mientras que el Banco de Desarrollo del Consejo de Europa mantendrá inversiones sociales por unos 3.000 millones de euros anuales, en el marco de una futura cooperación conjunta con la Comisión prevista para 2027.</w:t>
      </w:r>
    </w:p>
    <w:p w14:paraId="24F0E106"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En el plano de la gobernanza, la Comisión subraya que erradicar la pobreza exige un enfoque multinivel con la participación coordinada de los Estados miembros, las autoridades regionales y locales, los interlocutores sociales, la sociedad civil y el sector privado. A escala europea, reforzará la cooperación institucional con el Parlamento, el Comité de las Regiones y el Comité Económico y Social Europeo, y creará en 2026 un foro específico para que las personas en situación de pobreza y las organizaciones de la sociedad civil participen en el diseño y el seguimiento de las políticas; a escala nacional, invita a los Estados miembros a establecer marcos nacionales de lucha contra la pobreza, a utilizar evaluaciones de impacto distributivo y a designar coordinadores nacionales. Por último, en el ámbito de la vivienda, la Comisión presenta una propuesta de Recomendación del Consejo para combatir la exclusión residencial, orientada a apoyar marcos estratégicos nacionales centrados en la persona, con enfoques integrados y basados en la vivienda para prevenir y abordar el sinhogarismo.</w:t>
      </w:r>
    </w:p>
    <w:p w14:paraId="47F5712E" w14:textId="77777777" w:rsidR="004B2F68" w:rsidRPr="0042160A" w:rsidRDefault="004B2F68"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2.4 </w:t>
      </w:r>
      <w:r w:rsidRPr="0042160A">
        <w:rPr>
          <w:rFonts w:ascii="Arial" w:eastAsia="Calibri" w:hAnsi="Arial" w:cs="Arial"/>
          <w:b/>
          <w:sz w:val="24"/>
          <w:szCs w:val="24"/>
          <w:u w:val="single"/>
        </w:rPr>
        <w:t>Plan de Acción Sobre la Economía Social</w:t>
      </w:r>
    </w:p>
    <w:p w14:paraId="2E03CEEC"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El 30 de marzo de 2026, la Comisión Europea publicó el informe de revisión intermedia del Plan de Acción para la Economía Social (SEAP), con el objetivo de definir las orientaciones y prioridades de la política de economía social para los próximos cinco años. Al menos en el plano retórico, la Comisión mantiene un alto nivel de ambición y de compromiso político con el sector, en un contexto en el que las prioridades sociales se ven eclipsadas por las agendas de defensa y competitividad. El informe reconoce expresamente que las sucesivas crisis han demostrado que la economía social es una “fuente de resiliencia”: crea y mantiene empleo local, moviliza a las comunidades desde la solidaridad e interviene allí donde el mercado no llega para promover un crecimiento inclusivo.</w:t>
      </w:r>
    </w:p>
    <w:p w14:paraId="63260C13"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Desde el punto de vista de su aplicación, la revisión intermedia confirma que la mayoría de las 63 acciones del SEAP están finalizadas o en curso, lo que </w:t>
      </w:r>
      <w:r w:rsidRPr="0042160A">
        <w:rPr>
          <w:rFonts w:ascii="Arial" w:eastAsia="Calibri" w:hAnsi="Arial" w:cs="Arial"/>
          <w:bCs/>
          <w:sz w:val="24"/>
          <w:szCs w:val="24"/>
        </w:rPr>
        <w:lastRenderedPageBreak/>
        <w:t>evidencia un avance global satisfactorio. La Comisión reafirma su objetivo de avanzar hacia una economía social más competitiva, robusta y reconocida, apoyada en marcos jurídicos y políticos más favorables. En concreto, ello se traduce en reforzar la competitividad del sector mediante la revisión de las normas de contratación pública para mejorar su accesibilidad, la revisión del Reglamento General de Exención por Categorías y el fomento de las alianzas empresariales; en consolidar un ecosistema robusto mejorando el acceso a la financiación; y en reforzar su reconocimiento dando mayor visibilidad a la contribución económica del sector. Cabe destacar que la Comisión hace en gran medida suyo el relato que organizaciones como CEPES, Social Economy Europe o Philea vienen defendiendo en su labor de incidencia, lo que en sí mismo constituye un resultado positivo del proceso.</w:t>
      </w:r>
    </w:p>
    <w:p w14:paraId="28E7767B" w14:textId="3A633ADF"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Por todo ello, apoyar a la economía social para que utilice plena y eficazmente los fondos e instrumentos de la UE debe ser una prioridad, especialmente en este contexto de revisión del MFP. Esto exige no solo que los recursos del FSE sigan siendo accesibles y específicos, sino también una cooperación genuina entre la Comisión, el Parlamento Europeo, el Comité de las Regiones y el Comité Económico y Social Europeo para integrar la economía social en todos los marcos de financiación pertinentes. </w:t>
      </w:r>
    </w:p>
    <w:p w14:paraId="52B9136A" w14:textId="77777777" w:rsidR="004B2F68" w:rsidRPr="0042160A" w:rsidRDefault="004B2F68" w:rsidP="00433A3F">
      <w:pPr>
        <w:ind w:firstLine="360"/>
        <w:jc w:val="both"/>
        <w:rPr>
          <w:rFonts w:ascii="Arial" w:hAnsi="Arial" w:cs="Arial"/>
          <w:b/>
          <w:bCs/>
          <w:sz w:val="24"/>
          <w:szCs w:val="24"/>
          <w:u w:val="single"/>
        </w:rPr>
      </w:pPr>
      <w:bookmarkStart w:id="3" w:name="_Hlk214629609"/>
      <w:r w:rsidRPr="0042160A">
        <w:rPr>
          <w:rFonts w:ascii="Arial" w:hAnsi="Arial" w:cs="Arial"/>
          <w:b/>
          <w:bCs/>
          <w:sz w:val="24"/>
          <w:szCs w:val="24"/>
        </w:rPr>
        <w:t>2.5</w:t>
      </w:r>
      <w:r w:rsidRPr="0042160A">
        <w:rPr>
          <w:rFonts w:ascii="Arial" w:hAnsi="Arial" w:cs="Arial"/>
          <w:sz w:val="24"/>
          <w:szCs w:val="24"/>
        </w:rPr>
        <w:t xml:space="preserve"> </w:t>
      </w:r>
      <w:r w:rsidRPr="0042160A">
        <w:rPr>
          <w:rFonts w:ascii="Arial" w:hAnsi="Arial" w:cs="Arial"/>
          <w:b/>
          <w:bCs/>
          <w:sz w:val="24"/>
          <w:szCs w:val="24"/>
          <w:u w:val="single"/>
        </w:rPr>
        <w:t>Estrategia de Equidad Intergeneracional</w:t>
      </w:r>
    </w:p>
    <w:p w14:paraId="212AB555"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El 5 de marzo, la Comisión Europea publicó la Estrategia de Equidad Intergeneracional, con el objetivo de garantizar que las decisiones actuales se tomen pensando en el futuro, de fomentar el pensamiento a largo plazo en la elaboración de las políticas de la UE y de dar mayor peso a las opiniones de los jóvenes. Presentada por la Vicepresidenta Ejecutiva Mînzatu y el Comisario Micallef, la Estrategia se concibe como una aplicación práctica de la solidaridad entre generaciones e incorpora el pensamiento a largo plazo en la formulación de políticas. </w:t>
      </w:r>
    </w:p>
    <w:p w14:paraId="7E7B3FF6"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El documento analiza las grandes tendencias (demografía, digitalización, cambio climático, mercado laboral e inteligencia artificial) y sus efectos sobre la equidad intergeneracional, y proporciona una dirección común a iniciativas europeas ya existentes en ámbitos como la educación inclusiva, la vivienda asequible, los sistemas de cuidados sólidos y la justicia ambiental. Resulta especialmente relevante la atención explícita que presta a los jóvenes con discapacidad, que afrontan mayores dificultades en la transición a la vida adulta debido a la débil conexión entre la educación y el empleo, así como las referencias al Escudo Europeo de la Democracia y a la Estrategia de la UE para la Sociedad Civil.</w:t>
      </w:r>
    </w:p>
    <w:p w14:paraId="5951C883"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La Estrategia contempla quince acciones que se implementarán a lo largo del año, sin fechas específicas anunciadas por ahora. Entre ellas destacan un Índice de Equidad Intergeneracional, que medirá cómo protegen los países el futuro de </w:t>
      </w:r>
      <w:r w:rsidRPr="0042160A">
        <w:rPr>
          <w:rFonts w:ascii="Arial" w:eastAsia="Calibri" w:hAnsi="Arial" w:cs="Arial"/>
          <w:bCs/>
          <w:sz w:val="24"/>
          <w:szCs w:val="24"/>
        </w:rPr>
        <w:lastRenderedPageBreak/>
        <w:t xml:space="preserve">las generaciones jóvenes y futuras e identificará brechas y oportunidades; un Paquete Multilingüe de Políticas Orientadas al Futuro para reforzar la “alfabetización futura” en las administraciones públicas; un Foro de Demografía para el intercambio sobre la evolución demográfica; y la iniciativa “Voces del Futuro”, en colaboración con el Comité de las Regiones, para implicar a las autoridades locales y regionales en la planificación de sus territorios. La Estrategia se complementa con instrumentos como la Garantía Infantil Europea, la Estrategia Europea de Cuidados, el marco Unión de Competencias adoptado ya en 2025 y una próxima Hoja de Ruta sobre Longevidad. </w:t>
      </w:r>
    </w:p>
    <w:p w14:paraId="31862514" w14:textId="77777777" w:rsidR="004B2F68" w:rsidRPr="0042160A" w:rsidRDefault="004B2F68" w:rsidP="00433A3F">
      <w:pPr>
        <w:pStyle w:val="Prrafodelista"/>
        <w:ind w:left="360"/>
        <w:jc w:val="both"/>
        <w:outlineLvl w:val="0"/>
        <w:rPr>
          <w:rFonts w:ascii="Arial" w:hAnsi="Arial" w:cs="Arial"/>
          <w:sz w:val="24"/>
          <w:szCs w:val="24"/>
          <w:u w:val="single"/>
        </w:rPr>
      </w:pPr>
      <w:r w:rsidRPr="0042160A">
        <w:rPr>
          <w:rFonts w:ascii="Arial" w:eastAsia="Calibri" w:hAnsi="Arial" w:cs="Arial"/>
          <w:b/>
          <w:sz w:val="24"/>
          <w:szCs w:val="24"/>
        </w:rPr>
        <w:t xml:space="preserve">2.6 </w:t>
      </w:r>
      <w:bookmarkEnd w:id="3"/>
      <w:r w:rsidRPr="0042160A">
        <w:rPr>
          <w:rFonts w:ascii="Arial" w:eastAsia="Calibri" w:hAnsi="Arial" w:cs="Arial"/>
          <w:b/>
          <w:sz w:val="24"/>
          <w:szCs w:val="24"/>
          <w:u w:val="single"/>
        </w:rPr>
        <w:t xml:space="preserve">Plan Europeo de Vivienda Asequible </w:t>
      </w:r>
    </w:p>
    <w:p w14:paraId="024941CB"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A modo de recordatorio, la Comisión Europea ha presentado una propuesta para la estrategia europea de construcción de viviendas dentro del Plan de Vivienda Asequible, en respuesta a la crisis de vivienda que afecta a millones de personas en la UE. Las personas con discapacidad se encuentran entre los grupos más afectados, ya que solo un pequeño porcentaje de viviendas en la UE es accesible y siguen enfrentando barreras estructurales, económicas y sociales que limitan su autonomía e incrementan el riesgo de exclusión, institucionalización y peores resultados en salud. </w:t>
      </w:r>
    </w:p>
    <w:p w14:paraId="4F6DADD6"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El Parlamento Europeo adoptó en sesión plenaria su Resolución, de 10 de marzo de 2026, sobre la crisis de la vivienda en la Unión Europea, con el objetivo de proponer soluciones para una vivienda digna, sostenible y asequible (2025/2070(INI)). El informe subraya que millones de europeos viven en condiciones precarias y pide medidas legislativas a escala de la UE para mejorar la viabilidad y reducir el coste de la construcción de nuevas viviendas. Entre sus principales propuestas, los eurodiputados plantean regular los alquileres de corta duración para equilibrar turismo y acceso a la vivienda, así como ampliar la oferta de vivienda pública y social dirigida a los colectivos vulnerables. La resolución toma expresamente como base la Estrategia de la UE sobre los Derechos de las Personas con Discapacidad y la Convención de las Naciones Unidas sobre los Derechos de las Personas con Discapacidad.</w:t>
      </w:r>
    </w:p>
    <w:p w14:paraId="0DAB16A0" w14:textId="77777777" w:rsidR="00B817B4"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El texto insiste en que la vivienda accesible es una condición previa para la participación social plena y para la vida independiente, por lo que reclama garantizar su disponibilidad y mantenimiento junto con servicios comunitarios de apoyo adecuados, incluidos modelos de vida asistida, que eviten la institucionalización. Asimismo, pide que las inversiones de la UE cumplan criterios de accesibilidad para las personas mayores y con discapacidad, y respalda las iniciativas de vivienda pública, público-privada y cooperativa que mejoren la asequibilidad y la cohesión social, junto con mejoras en la eficiencia energética y la calidad de las viviendas. En el ámbito económico, el informe pide mayores inversiones en vivienda, incentivos fiscales para los hogares de </w:t>
      </w:r>
      <w:r w:rsidRPr="0042160A">
        <w:rPr>
          <w:rFonts w:ascii="Arial" w:eastAsia="Calibri" w:hAnsi="Arial" w:cs="Arial"/>
          <w:bCs/>
          <w:sz w:val="24"/>
          <w:szCs w:val="24"/>
        </w:rPr>
        <w:lastRenderedPageBreak/>
        <w:t>ingresos bajos y medios y normas de ayudas de Estado más favorables a la vivienda social.</w:t>
      </w:r>
    </w:p>
    <w:p w14:paraId="778FC213" w14:textId="77777777" w:rsidR="004B2F68" w:rsidRPr="0042160A" w:rsidRDefault="004B2F68"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2.7 </w:t>
      </w:r>
      <w:r w:rsidRPr="0042160A">
        <w:rPr>
          <w:rFonts w:ascii="Arial" w:eastAsia="Calibri" w:hAnsi="Arial" w:cs="Arial"/>
          <w:b/>
          <w:sz w:val="24"/>
          <w:szCs w:val="24"/>
          <w:u w:val="single"/>
        </w:rPr>
        <w:t>Régimen 28</w:t>
      </w:r>
    </w:p>
    <w:p w14:paraId="61155DD1" w14:textId="326F4259"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La iniciativa, presentada por la Presidenta von der Leyen junto con la Vicepresidenta Ejecutiva Virkkunen y los Comisarios McGrath y Zaharieva, busca simplificar el derecho de sociedades en la UE y facilitar que las empresas emergentes y en expansión (startups y scale-ups) establezcan y hagan crecer su negocio en el mercado único, mediante un marco corporativo flexible y digital por defecto que elimina burocracia y ofrece una estructura jurídica común en toda la Unión. La propuesta se acompaña de una recomendación sobre la definición de empresa innovadora, entendida como aquella que apuesta activamente por desarrollar nuevas soluciones o por mejorar significativamente las existentes, ya sea a través de su inversión en I+D o de su capacidad para crear productos, servicios o procesos novedosos que impliquen cierto grado de riesgo tecnológico o industrial.</w:t>
      </w:r>
    </w:p>
    <w:p w14:paraId="0BBD1224" w14:textId="77777777" w:rsidR="004B2F68" w:rsidRPr="0042160A"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Entre sus aspectos clave, la iniciativa facilita el acceso al talento —especialmente mediante opciones sobre acciones para los empleados— y simplifica la inversión transfronteriza; integra procesos digitales a lo largo de todo el ciclo de vida de la empresa, desde el registro hasta los procedimientos de insolvencia, y pretende armonizar los sistemas fiscales; aborda la movilidad laboral flexible, incluida la posibilidad de teletrabajo transfronterizo al 100 %; y permite registrar una empresa en línea en un plazo de 48 horas y a un coste mínimo, con transferencias rápidas de acciones, certificación multilingüe y el uso de herramientas como la European Business Wallet. Preguntada durante la rueda de prensa por la definición de “startup innovadora”, la Comisión explicó que se ha elaborado mediante amplias consultas con las partes interesadas y sobre la base de estándares internacionales, buscando un equilibrio entre una formulación suficientemente amplia para abarcar diversos sectores y, al mismo tiempo, fácil de verificar.</w:t>
      </w:r>
    </w:p>
    <w:p w14:paraId="5BF393E7" w14:textId="55306F03" w:rsidR="004B2F68" w:rsidRDefault="004B2F68" w:rsidP="00433A3F">
      <w:pPr>
        <w:jc w:val="both"/>
        <w:outlineLvl w:val="0"/>
        <w:rPr>
          <w:rFonts w:ascii="Arial" w:eastAsia="Calibri" w:hAnsi="Arial" w:cs="Arial"/>
          <w:bCs/>
          <w:sz w:val="24"/>
          <w:szCs w:val="24"/>
        </w:rPr>
      </w:pPr>
      <w:r w:rsidRPr="0042160A">
        <w:rPr>
          <w:rFonts w:ascii="Arial" w:eastAsia="Calibri" w:hAnsi="Arial" w:cs="Arial"/>
          <w:bCs/>
          <w:sz w:val="24"/>
          <w:szCs w:val="24"/>
        </w:rPr>
        <w:t>De cara al futuro, la Comisión anuncia un Paquete de Movilidad Laboral Justa (Fair Labour Mobility Package), que se presentará más adelante este año y explorará las opciones de teletrabajo transfronterizo al 100 %, así como la continuación de los trabajos de digitalización y simplificación de los procesos empresariales y la finalización, antes de final de año, de unas directrices sobre fusiones alineadas con los objetivos de competitividad</w:t>
      </w:r>
      <w:r w:rsidR="00BA7897">
        <w:rPr>
          <w:rFonts w:ascii="Arial" w:eastAsia="Calibri" w:hAnsi="Arial" w:cs="Arial"/>
          <w:bCs/>
          <w:sz w:val="24"/>
          <w:szCs w:val="24"/>
        </w:rPr>
        <w:t>.</w:t>
      </w:r>
    </w:p>
    <w:p w14:paraId="5E91FBC5" w14:textId="77777777" w:rsidR="002C07E9" w:rsidRDefault="002C07E9" w:rsidP="00433A3F">
      <w:pPr>
        <w:jc w:val="both"/>
        <w:outlineLvl w:val="0"/>
        <w:rPr>
          <w:rFonts w:ascii="Arial" w:eastAsia="Calibri" w:hAnsi="Arial" w:cs="Arial"/>
          <w:bCs/>
          <w:sz w:val="24"/>
          <w:szCs w:val="24"/>
        </w:rPr>
      </w:pPr>
    </w:p>
    <w:p w14:paraId="10A77086" w14:textId="77777777" w:rsidR="002C07E9" w:rsidRDefault="002C07E9" w:rsidP="00433A3F">
      <w:pPr>
        <w:jc w:val="both"/>
        <w:outlineLvl w:val="0"/>
        <w:rPr>
          <w:rFonts w:ascii="Arial" w:eastAsia="Calibri" w:hAnsi="Arial" w:cs="Arial"/>
          <w:bCs/>
          <w:sz w:val="24"/>
          <w:szCs w:val="24"/>
        </w:rPr>
      </w:pPr>
    </w:p>
    <w:p w14:paraId="163C97E9" w14:textId="77777777" w:rsidR="002C07E9" w:rsidRPr="0042160A" w:rsidRDefault="002C07E9" w:rsidP="00433A3F">
      <w:pPr>
        <w:jc w:val="both"/>
        <w:outlineLvl w:val="0"/>
        <w:rPr>
          <w:rFonts w:ascii="Arial" w:eastAsia="Calibri" w:hAnsi="Arial" w:cs="Arial"/>
          <w:bCs/>
          <w:sz w:val="24"/>
          <w:szCs w:val="24"/>
        </w:rPr>
      </w:pPr>
    </w:p>
    <w:p w14:paraId="2A7DF2FD" w14:textId="77777777" w:rsidR="00BF0C11" w:rsidRPr="009350B7" w:rsidRDefault="009E6D3E" w:rsidP="009350B7">
      <w:pPr>
        <w:numPr>
          <w:ilvl w:val="0"/>
          <w:numId w:val="11"/>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lastRenderedPageBreak/>
        <w:t>AVANCES DE OTRAS INICIATIVAS YA EN TRAMITACIÓN</w:t>
      </w:r>
    </w:p>
    <w:p w14:paraId="3CDFA73B" w14:textId="77777777" w:rsidR="00114495" w:rsidRPr="0042160A" w:rsidRDefault="00114495" w:rsidP="00433A3F">
      <w:pPr>
        <w:pStyle w:val="Prrafodelista"/>
        <w:ind w:left="360"/>
        <w:jc w:val="both"/>
        <w:outlineLvl w:val="0"/>
        <w:rPr>
          <w:rFonts w:ascii="Arial" w:eastAsia="Calibri" w:hAnsi="Arial" w:cs="Arial"/>
          <w:b/>
          <w:sz w:val="24"/>
          <w:szCs w:val="24"/>
        </w:rPr>
      </w:pPr>
      <w:r w:rsidRPr="0042160A">
        <w:rPr>
          <w:rFonts w:ascii="Arial" w:eastAsia="Calibri" w:hAnsi="Arial" w:cs="Arial"/>
          <w:b/>
          <w:sz w:val="24"/>
          <w:szCs w:val="24"/>
        </w:rPr>
        <w:t xml:space="preserve">3.1 </w:t>
      </w:r>
      <w:r w:rsidRPr="0042160A">
        <w:rPr>
          <w:rFonts w:ascii="Arial" w:eastAsia="Calibri" w:hAnsi="Arial" w:cs="Arial"/>
          <w:b/>
          <w:sz w:val="24"/>
          <w:szCs w:val="24"/>
          <w:u w:val="single"/>
        </w:rPr>
        <w:t>Marco Plurianual Financiero 2028-2034</w:t>
      </w:r>
    </w:p>
    <w:p w14:paraId="6B1F5BAC" w14:textId="37F0A8D0"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Desde la publicación de la propuesta, las negociaciones han avanzado. El 28 de abril de 2026, el pleno del Parlamento Europeo adoptó —por 370 votos a favor, 201 en contra y 84 abstenciones— un informe provisional que fija su mandato de negociación. Sobre la base del trabajo de los coponentes Siegfried Mureșan (PPE) y Carla Tavares (S&amp;D), el Parlamento reclama un presupuesto sensiblemente más ambicioso —en torno al 1,27 % de la renta nacional bruta de la UE, aproximadamente 1,789 billones de euros a precios de 2025, cerca de un 10 % por encima de la propuesta de la Comisión— y rechaza categóricamente la dilución de la política de cohesión en los Planes de Asociación Nacionales y Regionales, insistiendo en mantener el Fondo Social Europeo Plus como instrumento autónomo y con recursos reforzados. El Parlamento urge a alcanzar un acuerdo antes de finales de 2026 para que los programas puedan aplicarse a partir del 1 de enero de 2028. </w:t>
      </w:r>
    </w:p>
    <w:p w14:paraId="2D0CBC23" w14:textId="29A9A1A3" w:rsidR="00114495" w:rsidRPr="0042160A" w:rsidRDefault="001345B1" w:rsidP="00433A3F">
      <w:pPr>
        <w:pStyle w:val="Prrafodelista"/>
        <w:ind w:left="0"/>
        <w:jc w:val="both"/>
        <w:outlineLvl w:val="0"/>
        <w:rPr>
          <w:rFonts w:ascii="Arial" w:eastAsia="Calibri" w:hAnsi="Arial" w:cs="Arial"/>
          <w:bCs/>
          <w:sz w:val="24"/>
          <w:szCs w:val="24"/>
        </w:rPr>
      </w:pPr>
      <w:r>
        <w:rPr>
          <w:rFonts w:ascii="Arial" w:eastAsia="Calibri" w:hAnsi="Arial" w:cs="Arial"/>
          <w:bCs/>
          <w:sz w:val="24"/>
          <w:szCs w:val="24"/>
        </w:rPr>
        <w:t xml:space="preserve">La </w:t>
      </w:r>
      <w:r w:rsidR="00114495" w:rsidRPr="0042160A">
        <w:rPr>
          <w:rFonts w:ascii="Arial" w:eastAsia="Calibri" w:hAnsi="Arial" w:cs="Arial"/>
          <w:bCs/>
          <w:sz w:val="24"/>
          <w:szCs w:val="24"/>
        </w:rPr>
        <w:t xml:space="preserve">Comisión Europea publicó el 16 de julio de 2025 su propuesta para el nuevo Marco Financiero Plurianual 2028-2034, el presupuesto a largo plazo de la UE (cerca de dos billones de euros, equivalentes al 1,26 % de la renta nacional bruta) que definirá las prioridades y los programas europeos y condicionará el futuro de nuestro Programa Operativo, que este año cumple 25 años. </w:t>
      </w:r>
    </w:p>
    <w:p w14:paraId="1654E6AE" w14:textId="77777777" w:rsidR="00114495" w:rsidRPr="0042160A" w:rsidRDefault="00114495" w:rsidP="00433A3F">
      <w:pPr>
        <w:pStyle w:val="Prrafodelista"/>
        <w:ind w:left="360"/>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3.2 </w:t>
      </w:r>
      <w:r w:rsidRPr="0042160A">
        <w:rPr>
          <w:rFonts w:ascii="Arial" w:eastAsia="Calibri" w:hAnsi="Arial" w:cs="Arial"/>
          <w:b/>
          <w:sz w:val="24"/>
          <w:szCs w:val="24"/>
          <w:u w:val="single"/>
        </w:rPr>
        <w:t>Propuesta de Directiva sobre las Asociaciones Europeas Transfronterizas</w:t>
      </w:r>
    </w:p>
    <w:p w14:paraId="522252F6"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En septiembre de 2023, en respuesta a la iniciativa legislativa indirecta del Parlamento de febrero de 2022, la Comisión propuso una directiva sobre las asociaciones transfronterizas europeas (ECBA), con la que se introducía una figura jurídica reconocida en toda la UE que permitiría reducir la burocracia, eliminar barreras y evitar duplicidades, al reconocer las características esenciales del modelo empresarial sin ánimo de lucro que presta servicios económicos de interés general y garantizar una competencia equitativa en el mercado interior. Tras su aprobación por el Parlamento Europeo en marzo de 2024, la propuesta continúa siendo examinada en el Consejo a través del Grupo de Trabajo sobre Derecho de Sociedades desde abril de 2024.</w:t>
      </w:r>
    </w:p>
    <w:p w14:paraId="09D59896"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El verdadero punto de fricción reside en la interpretación de los efectos jurídicos de la directiva. Según el Servicio Jurídico del Consejo, la iniciativa implicaría, en la práctica, la creación de una nueva figura jurídica a nivel de la Unión que los Estados miembros tendrían que incorporar a sus ordenamientos, lo que suscita preocupaciones en materia de soberanía regulatoria. Más allá de este desacuerdo técnico, subyace una cuestión de mayor calado sobre el papel de la UE en la construcción de un espacio que sea a la vez económico y social. A ello </w:t>
      </w:r>
      <w:r w:rsidRPr="0042160A">
        <w:rPr>
          <w:rFonts w:ascii="Arial" w:eastAsia="Calibri" w:hAnsi="Arial" w:cs="Arial"/>
          <w:bCs/>
          <w:sz w:val="24"/>
          <w:szCs w:val="24"/>
        </w:rPr>
        <w:lastRenderedPageBreak/>
        <w:t>se suma el temor de varios Estados miembros a las asimetrías derivadas del reconocimiento mutuo: en la práctica, la coexistencia de múltiples regímenes nacionales reconocidos automáticamente entre sí podría favorecer el “forum shopping”, es decir, la constitución de entidades en los Estados con normas más flexibles para eludir regulaciones más estrictas en otros.</w:t>
      </w:r>
    </w:p>
    <w:p w14:paraId="624B7793"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Tras más de año y medio sin avances ni voluntad política en el Consejo, la iniciativa no fue incluida en el programa de trabajo de la Comisión para 2026 y, en diciembre de 2025, pasó a integrarse en el conjunto de las veinticinco iniciativas que la Comisión se comprometió a retirar. La retirada ha generado reacciones significativas por parte de la sociedad civil, que subraya que la directiva no crearía una nueva forma jurídica europea, sino una forma jurídica nacional con ciertas características y ventajas armonizadas, respetuosa con las tradiciones jurídicas de cada país, que permitiría a las asociaciones transfronterizas operar en toda la Unión en las mismas condiciones que las entidades nacionales.</w:t>
      </w:r>
    </w:p>
    <w:p w14:paraId="5BC59918" w14:textId="6A9658F2" w:rsidR="001176A6"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Organizaciones como Philea se han movilizado, contactando con la Comisión (DG GROW) y con varias representaciones permanentes para presionar a los Estados miembros —en particular a los del denominado “Comité de Luxemburgo”—. España ha remitido, junto con Polonia, una solicitud a la Comisión para que no retire la propuesta, mientras que Alemania ha mostrado señales positivas de carácter informal y se trabaja para lograr el respaldo de Bélgica. Dado que la próxima Presidencia irlandesa del Consejo podría mostrarse menos favorable que la chipriota, resulta urgente asegurar apoyos en el corto plazo. </w:t>
      </w:r>
    </w:p>
    <w:p w14:paraId="468F09E1" w14:textId="77777777" w:rsidR="00114495" w:rsidRPr="0042160A" w:rsidRDefault="00114495" w:rsidP="00433A3F">
      <w:pPr>
        <w:ind w:firstLine="720"/>
        <w:jc w:val="both"/>
        <w:rPr>
          <w:rFonts w:ascii="Arial" w:hAnsi="Arial" w:cs="Arial"/>
          <w:b/>
          <w:bCs/>
          <w:sz w:val="24"/>
          <w:szCs w:val="24"/>
          <w:u w:val="single"/>
        </w:rPr>
      </w:pPr>
      <w:r w:rsidRPr="0042160A">
        <w:rPr>
          <w:rFonts w:ascii="Arial" w:hAnsi="Arial" w:cs="Arial"/>
          <w:b/>
          <w:bCs/>
          <w:sz w:val="24"/>
          <w:szCs w:val="24"/>
        </w:rPr>
        <w:t xml:space="preserve">3.3 </w:t>
      </w:r>
      <w:r w:rsidRPr="0042160A">
        <w:rPr>
          <w:rFonts w:ascii="Arial" w:hAnsi="Arial" w:cs="Arial"/>
          <w:b/>
          <w:bCs/>
          <w:sz w:val="24"/>
          <w:szCs w:val="24"/>
          <w:u w:val="single"/>
        </w:rPr>
        <w:t>Revisión de la Directiva de Contratación Pública</w:t>
      </w:r>
    </w:p>
    <w:p w14:paraId="787AE69C" w14:textId="77777777" w:rsidR="00C9374E" w:rsidRPr="0042160A" w:rsidRDefault="00C9374E" w:rsidP="00433A3F">
      <w:pPr>
        <w:jc w:val="both"/>
        <w:rPr>
          <w:rFonts w:ascii="Arial" w:hAnsi="Arial" w:cs="Arial"/>
          <w:sz w:val="24"/>
          <w:szCs w:val="24"/>
        </w:rPr>
      </w:pPr>
      <w:r w:rsidRPr="0042160A">
        <w:rPr>
          <w:rFonts w:ascii="Arial" w:hAnsi="Arial" w:cs="Arial"/>
          <w:sz w:val="24"/>
          <w:szCs w:val="24"/>
        </w:rPr>
        <w:t>El 3 de junio de 2026, la Comisión ha celebrado un debate de orientación sobre la revisión de la directiva de contratación pública, en el que se abordaron varias cuestiones políticamente sensibles de cara a su propuesta</w:t>
      </w:r>
      <w:r w:rsidR="001176A6">
        <w:rPr>
          <w:rFonts w:ascii="Arial" w:hAnsi="Arial" w:cs="Arial"/>
          <w:sz w:val="24"/>
          <w:szCs w:val="24"/>
        </w:rPr>
        <w:t xml:space="preserve">. </w:t>
      </w:r>
    </w:p>
    <w:p w14:paraId="1DEDE1C4" w14:textId="77777777" w:rsidR="00C9374E" w:rsidRPr="0042160A" w:rsidRDefault="00C9374E" w:rsidP="00433A3F">
      <w:pPr>
        <w:jc w:val="both"/>
        <w:rPr>
          <w:rFonts w:ascii="Arial" w:hAnsi="Arial" w:cs="Arial"/>
          <w:sz w:val="24"/>
          <w:szCs w:val="24"/>
        </w:rPr>
      </w:pPr>
      <w:r w:rsidRPr="0042160A">
        <w:rPr>
          <w:rFonts w:ascii="Arial" w:hAnsi="Arial" w:cs="Arial"/>
          <w:sz w:val="24"/>
          <w:szCs w:val="24"/>
        </w:rPr>
        <w:t xml:space="preserve">La primera es la forma jurídica del nuevo marco: mantener el actual sistema basado en directivas (que otorga flexibilidad a los Estados miembros en su transposición) o sustituirlo por un reglamento de aplicación directa que armonizaría las reglas en toda la Unión. Diecisiete Estados miembros, encabezados por Austria, Francia y Alemania, junto con Noruega, han pedido conservar el formato de directiva, al considerar que convertirlo en reglamento sería poco práctico y rompería el equilibrio actual, ya que la contratación exige mayor flexibilidad nacional que la mayoría de la legislación europea, si bien respaldan la lucha contra la "sobrerregulación" (gold plating). </w:t>
      </w:r>
    </w:p>
    <w:p w14:paraId="49FACFAE" w14:textId="77777777" w:rsidR="00C9374E" w:rsidRPr="0042160A" w:rsidRDefault="00C9374E" w:rsidP="00433A3F">
      <w:pPr>
        <w:jc w:val="both"/>
        <w:rPr>
          <w:rFonts w:ascii="Arial" w:hAnsi="Arial" w:cs="Arial"/>
          <w:sz w:val="24"/>
          <w:szCs w:val="24"/>
        </w:rPr>
      </w:pPr>
      <w:r w:rsidRPr="0042160A">
        <w:rPr>
          <w:rFonts w:ascii="Arial" w:hAnsi="Arial" w:cs="Arial"/>
          <w:sz w:val="24"/>
          <w:szCs w:val="24"/>
        </w:rPr>
        <w:t xml:space="preserve">El segundo gran debate es la posible obligatoriedad de los criterios no vinculados al precio, hoy aplicados de forma desigual y objeto de litigios por su eventual </w:t>
      </w:r>
      <w:r w:rsidRPr="0042160A">
        <w:rPr>
          <w:rFonts w:ascii="Arial" w:hAnsi="Arial" w:cs="Arial"/>
          <w:sz w:val="24"/>
          <w:szCs w:val="24"/>
        </w:rPr>
        <w:lastRenderedPageBreak/>
        <w:t>efecto sobre la competencia: los sindicatos y la izquierda defienden exigencias obligatorias en materia de derechos laborales, negociación colectiva y estándares sociales, mientras que las organizaciones empresariales advierten de que nuevas obligaciones elevarían los costes de cumplimiento y debilitarían la agenda de simplificación. Aunque el debate no preveía adoptar decisiones, sí ofrece una primera señal del nivel de ambición de la Comisión antes de presentar su propuesta, sobre la que las instituciones europeas se han fijado el objetivo de alcanzar un acuerdo antes de finales de 2027.</w:t>
      </w:r>
    </w:p>
    <w:p w14:paraId="35FE17E2" w14:textId="24DF2E7B" w:rsidR="00C9374E" w:rsidRDefault="00C9374E" w:rsidP="00433A3F">
      <w:pPr>
        <w:jc w:val="both"/>
        <w:rPr>
          <w:rFonts w:ascii="Arial" w:hAnsi="Arial" w:cs="Arial"/>
          <w:sz w:val="24"/>
          <w:szCs w:val="24"/>
        </w:rPr>
      </w:pPr>
      <w:r w:rsidRPr="0042160A">
        <w:rPr>
          <w:rFonts w:ascii="Arial" w:hAnsi="Arial" w:cs="Arial"/>
          <w:sz w:val="24"/>
          <w:szCs w:val="24"/>
        </w:rPr>
        <w:t xml:space="preserve">Aunque la contratación verde, innovadora y social continúa siendo una prioridad estratégica para los Estados miembros, al mismo tiempo aumenta la necesidad de incorporar nuevas prioridades estratégicas, como la autonomía estratégica y la seguridad económica. Aún queda por ver hasta qué punto estas conclusiones y resultados se reflejarán en las futuras modificaciones de la Directiva. </w:t>
      </w:r>
    </w:p>
    <w:p w14:paraId="6FE7127D" w14:textId="3CBE6300" w:rsidR="001176A6" w:rsidRDefault="001176A6" w:rsidP="00433A3F">
      <w:pPr>
        <w:jc w:val="both"/>
        <w:rPr>
          <w:rFonts w:ascii="Arial" w:hAnsi="Arial" w:cs="Arial"/>
          <w:sz w:val="24"/>
          <w:szCs w:val="24"/>
        </w:rPr>
      </w:pPr>
      <w:r>
        <w:rPr>
          <w:rFonts w:ascii="Arial" w:hAnsi="Arial" w:cs="Arial"/>
          <w:sz w:val="24"/>
          <w:szCs w:val="24"/>
        </w:rPr>
        <w:t xml:space="preserve">La publicación está </w:t>
      </w:r>
      <w:r w:rsidRPr="0042160A">
        <w:rPr>
          <w:rFonts w:ascii="Arial" w:hAnsi="Arial" w:cs="Arial"/>
          <w:sz w:val="24"/>
          <w:szCs w:val="24"/>
        </w:rPr>
        <w:t xml:space="preserve">prevista para el </w:t>
      </w:r>
      <w:r w:rsidR="00E46F90">
        <w:rPr>
          <w:rFonts w:ascii="Arial" w:hAnsi="Arial" w:cs="Arial"/>
          <w:sz w:val="24"/>
          <w:szCs w:val="24"/>
        </w:rPr>
        <w:t>9 de septiembre</w:t>
      </w:r>
      <w:r w:rsidRPr="0042160A">
        <w:rPr>
          <w:rFonts w:ascii="Arial" w:hAnsi="Arial" w:cs="Arial"/>
          <w:sz w:val="24"/>
          <w:szCs w:val="24"/>
        </w:rPr>
        <w:t xml:space="preserve">. </w:t>
      </w:r>
    </w:p>
    <w:p w14:paraId="0C66DDC2" w14:textId="77777777" w:rsidR="001176A6" w:rsidRPr="0042160A" w:rsidRDefault="001176A6" w:rsidP="00433A3F">
      <w:pPr>
        <w:jc w:val="both"/>
        <w:rPr>
          <w:rFonts w:ascii="Arial" w:hAnsi="Arial" w:cs="Arial"/>
          <w:sz w:val="24"/>
          <w:szCs w:val="24"/>
        </w:rPr>
      </w:pPr>
    </w:p>
    <w:p w14:paraId="61560117" w14:textId="77777777" w:rsidR="00114495" w:rsidRPr="0042160A" w:rsidRDefault="00114495" w:rsidP="00433A3F">
      <w:pPr>
        <w:jc w:val="both"/>
        <w:rPr>
          <w:rFonts w:ascii="Arial" w:hAnsi="Arial" w:cs="Arial"/>
          <w:b/>
          <w:bCs/>
          <w:sz w:val="24"/>
          <w:szCs w:val="24"/>
          <w:u w:val="single"/>
        </w:rPr>
      </w:pPr>
      <w:r w:rsidRPr="0042160A">
        <w:rPr>
          <w:rFonts w:ascii="Arial" w:hAnsi="Arial" w:cs="Arial"/>
          <w:sz w:val="24"/>
          <w:szCs w:val="24"/>
        </w:rPr>
        <w:tab/>
      </w:r>
      <w:r w:rsidRPr="0042160A">
        <w:rPr>
          <w:rFonts w:ascii="Arial" w:hAnsi="Arial" w:cs="Arial"/>
          <w:b/>
          <w:bCs/>
          <w:sz w:val="24"/>
          <w:szCs w:val="24"/>
        </w:rPr>
        <w:t>3.4</w:t>
      </w:r>
      <w:r w:rsidRPr="0042160A">
        <w:rPr>
          <w:rFonts w:ascii="Arial" w:hAnsi="Arial" w:cs="Arial"/>
          <w:sz w:val="24"/>
          <w:szCs w:val="24"/>
        </w:rPr>
        <w:t xml:space="preserve"> </w:t>
      </w:r>
      <w:r w:rsidRPr="0042160A">
        <w:rPr>
          <w:rFonts w:ascii="Arial" w:hAnsi="Arial" w:cs="Arial"/>
          <w:b/>
          <w:bCs/>
          <w:sz w:val="24"/>
          <w:szCs w:val="24"/>
          <w:u w:val="single"/>
        </w:rPr>
        <w:t>Revisión del Reglamento sobre los Derechos de los Pasajeros Aéreos</w:t>
      </w:r>
    </w:p>
    <w:p w14:paraId="3B74B03D"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Tras varios meses de intensas negociaciones, los colegisladores parecen encaminados a cerrar la reforma manteniendo prácticamente sin cambios su punto más controvertido: la compensación por retrasos y cancelaciones. Bajo la Presidencia chipriota del Consejo, los embajadores de los Estados miembros se reunieron el 5 de junio para examinar la última propuesta de paquete que abarca todas las cuestiones pendientes, un compromiso alcanzado tras unas negociaciones maratonianas con el Parlamento Europeo que el martes anterior habían concluido sin acuerdo. De aprobar los embajadores el borrador, el acuerdo final deberá ser adoptado por el comité de conciliación (integrado por eurodiputados y representantes de los Estados miembros) antes del 15 de junio.</w:t>
      </w:r>
    </w:p>
    <w:p w14:paraId="0699E8AF"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Las nuevas disposiciones específicas para las personas con discapacidad incluyen:</w:t>
      </w:r>
    </w:p>
    <w:p w14:paraId="598030DA" w14:textId="77777777" w:rsidR="00114495" w:rsidRPr="0042160A" w:rsidRDefault="00114495" w:rsidP="00433A3F">
      <w:pPr>
        <w:pStyle w:val="Prrafodelista"/>
        <w:numPr>
          <w:ilvl w:val="0"/>
          <w:numId w:val="13"/>
        </w:numPr>
        <w:spacing w:after="160" w:line="278" w:lineRule="auto"/>
        <w:contextualSpacing/>
        <w:jc w:val="both"/>
        <w:rPr>
          <w:rFonts w:ascii="Arial" w:hAnsi="Arial" w:cs="Arial"/>
          <w:sz w:val="24"/>
          <w:szCs w:val="24"/>
        </w:rPr>
      </w:pPr>
      <w:r w:rsidRPr="0042160A">
        <w:rPr>
          <w:rFonts w:ascii="Arial" w:hAnsi="Arial" w:cs="Arial"/>
          <w:sz w:val="24"/>
          <w:szCs w:val="24"/>
        </w:rPr>
        <w:t>Una definición más detallada de “persona con discapacidad”</w:t>
      </w:r>
    </w:p>
    <w:p w14:paraId="25DF0CA3" w14:textId="77777777" w:rsidR="00114495" w:rsidRPr="0042160A" w:rsidRDefault="00114495" w:rsidP="00433A3F">
      <w:pPr>
        <w:pStyle w:val="Prrafodelista"/>
        <w:numPr>
          <w:ilvl w:val="0"/>
          <w:numId w:val="13"/>
        </w:numPr>
        <w:spacing w:after="160"/>
        <w:contextualSpacing/>
        <w:jc w:val="both"/>
        <w:rPr>
          <w:rFonts w:ascii="Arial" w:hAnsi="Arial" w:cs="Arial"/>
          <w:sz w:val="24"/>
          <w:szCs w:val="24"/>
        </w:rPr>
      </w:pPr>
      <w:r w:rsidRPr="0042160A">
        <w:rPr>
          <w:rFonts w:ascii="Arial" w:hAnsi="Arial" w:cs="Arial"/>
          <w:sz w:val="24"/>
          <w:szCs w:val="24"/>
        </w:rPr>
        <w:t>Prohibición de someter a la persona a ningún vuelo de conexión adicional cuando sea reubicada, salvo acuerdo expreso del pasajero</w:t>
      </w:r>
    </w:p>
    <w:p w14:paraId="78F4A333" w14:textId="77777777" w:rsidR="00114495" w:rsidRPr="0042160A" w:rsidRDefault="00114495" w:rsidP="00433A3F">
      <w:pPr>
        <w:pStyle w:val="Prrafodelista"/>
        <w:numPr>
          <w:ilvl w:val="0"/>
          <w:numId w:val="13"/>
        </w:numPr>
        <w:spacing w:after="160"/>
        <w:contextualSpacing/>
        <w:jc w:val="both"/>
        <w:rPr>
          <w:rFonts w:ascii="Arial" w:hAnsi="Arial" w:cs="Arial"/>
          <w:sz w:val="24"/>
          <w:szCs w:val="24"/>
        </w:rPr>
      </w:pPr>
      <w:r w:rsidRPr="0042160A">
        <w:rPr>
          <w:rFonts w:ascii="Arial" w:hAnsi="Arial" w:cs="Arial"/>
          <w:sz w:val="24"/>
          <w:szCs w:val="24"/>
        </w:rPr>
        <w:t>Un refuerzo de la protección en caso de pérdida del vuelo como consecuencia de una falta de asistencia adecuada por parte del gestor aeroportuario</w:t>
      </w:r>
    </w:p>
    <w:p w14:paraId="5C25E17F" w14:textId="77777777" w:rsidR="00114495" w:rsidRDefault="00114495" w:rsidP="00433A3F">
      <w:pPr>
        <w:pStyle w:val="Prrafodelista"/>
        <w:numPr>
          <w:ilvl w:val="0"/>
          <w:numId w:val="13"/>
        </w:numPr>
        <w:spacing w:after="160"/>
        <w:contextualSpacing/>
        <w:jc w:val="both"/>
        <w:rPr>
          <w:rFonts w:ascii="Arial" w:hAnsi="Arial" w:cs="Arial"/>
          <w:sz w:val="24"/>
          <w:szCs w:val="24"/>
        </w:rPr>
      </w:pPr>
      <w:r w:rsidRPr="0042160A">
        <w:rPr>
          <w:rFonts w:ascii="Arial" w:hAnsi="Arial" w:cs="Arial"/>
          <w:sz w:val="24"/>
          <w:szCs w:val="24"/>
        </w:rPr>
        <w:t>El derecho de la persona acompañante a sentarse junto a la persona con discapacidad de forma gratuita.</w:t>
      </w:r>
    </w:p>
    <w:p w14:paraId="0667A7C4" w14:textId="77777777" w:rsidR="001345B1" w:rsidRPr="0042160A" w:rsidRDefault="001345B1" w:rsidP="001345B1">
      <w:pPr>
        <w:pStyle w:val="Prrafodelista"/>
        <w:spacing w:after="160"/>
        <w:ind w:left="720"/>
        <w:contextualSpacing/>
        <w:jc w:val="both"/>
        <w:rPr>
          <w:rFonts w:ascii="Arial" w:hAnsi="Arial" w:cs="Arial"/>
          <w:sz w:val="24"/>
          <w:szCs w:val="24"/>
        </w:rPr>
      </w:pPr>
    </w:p>
    <w:p w14:paraId="3448BCA6" w14:textId="77777777" w:rsidR="00114495" w:rsidRPr="0042160A" w:rsidRDefault="00114495" w:rsidP="00433A3F">
      <w:pPr>
        <w:ind w:left="720"/>
        <w:jc w:val="both"/>
        <w:rPr>
          <w:rFonts w:ascii="Arial" w:hAnsi="Arial" w:cs="Arial"/>
          <w:b/>
          <w:bCs/>
          <w:sz w:val="24"/>
          <w:szCs w:val="24"/>
          <w:u w:val="single"/>
        </w:rPr>
      </w:pPr>
      <w:r w:rsidRPr="0042160A">
        <w:rPr>
          <w:rFonts w:ascii="Arial" w:hAnsi="Arial" w:cs="Arial"/>
          <w:b/>
          <w:bCs/>
          <w:sz w:val="24"/>
          <w:szCs w:val="24"/>
        </w:rPr>
        <w:lastRenderedPageBreak/>
        <w:t xml:space="preserve">3.5 </w:t>
      </w:r>
      <w:r w:rsidRPr="0042160A">
        <w:rPr>
          <w:rFonts w:ascii="Arial" w:hAnsi="Arial" w:cs="Arial"/>
          <w:b/>
          <w:bCs/>
          <w:sz w:val="24"/>
          <w:szCs w:val="24"/>
          <w:u w:val="single"/>
        </w:rPr>
        <w:t>Euro Digital</w:t>
      </w:r>
    </w:p>
    <w:p w14:paraId="6579FB47"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El euro digital es una forma digital de dinero del banco central, concebida como complemento del efectivo —y no como su sustituto— para los pagos minoristas de la ciudadanía y las empresas en toda la zona del euro. La decisión última de emitirlo corresponde al Banco Central Europeo (BCE), pero requiere la aprobación previa de un reglamento que fije su marco jurídico. Sobre esta base, la Comisión Europea presentó el 28 de junio de 2023 el paquete legislativo del Euro Digital, integrado en el Paquete de Moneda Única, con el objetivo de garantizar reglas y condiciones homogéneas en su uso en todo el área del euro.</w:t>
      </w:r>
    </w:p>
    <w:p w14:paraId="13A9BDDE"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 xml:space="preserve">En el Parlamento Europeo, el expediente se tramita en la Comisión de Asuntos Económicos y Monetarios (ECON). El europarlamentario español Fernando Navarrete Rojas (PPE) asumió la ponencia y presentó su proyecto de informe el 5 de noviembre de 2025. Por su parte, el Consejo adoptó el 19 de diciembre de 2025 su posición negociadora sobre el conjunto del paquete, en apoyo de un medio de pago público respaldado por el BCE que complemente el efectivo y las soluciones privadas y funcione tanto en línea como fuera de línea, con salvaguardias en materia de estabilidad financiera, protección del consumidor y equidad del mercado, así como servicios básicos gratuitos para los usuarios. </w:t>
      </w:r>
    </w:p>
    <w:p w14:paraId="71E5B6C7" w14:textId="761E4AA8" w:rsidR="00114495" w:rsidRPr="0042160A" w:rsidRDefault="00114495" w:rsidP="00433A3F">
      <w:pPr>
        <w:jc w:val="both"/>
        <w:rPr>
          <w:rFonts w:ascii="Arial" w:hAnsi="Arial" w:cs="Arial"/>
          <w:sz w:val="24"/>
          <w:szCs w:val="24"/>
        </w:rPr>
      </w:pPr>
      <w:r w:rsidRPr="0042160A">
        <w:rPr>
          <w:rFonts w:ascii="Arial" w:hAnsi="Arial" w:cs="Arial"/>
          <w:sz w:val="24"/>
          <w:szCs w:val="24"/>
        </w:rPr>
        <w:t>La votación en la comisión ECON, prevista inicialmente para mayo de 2026, se ha pospuesto y se espera para finales de junio de 2026, a la que seguiría la votación en el pleno; los colegisladores aspiran a cerrar el reglamento antes de finales de 2026, si bien la emisión efectiva del euro digital no se produciría hasta más adelante en la década. El expediente se inscribe, además, en el debate más amplio sobre la soberanía europea en materia de pagos y la reducción de la dependencia de proveedores no europeos.</w:t>
      </w:r>
    </w:p>
    <w:p w14:paraId="1F72397A" w14:textId="77777777" w:rsidR="00114495" w:rsidRPr="0042160A" w:rsidRDefault="00114495" w:rsidP="00433A3F">
      <w:pPr>
        <w:ind w:left="720"/>
        <w:jc w:val="both"/>
        <w:rPr>
          <w:rFonts w:ascii="Arial" w:hAnsi="Arial" w:cs="Arial"/>
          <w:b/>
          <w:bCs/>
          <w:sz w:val="24"/>
          <w:szCs w:val="24"/>
          <w:u w:val="single"/>
        </w:rPr>
      </w:pPr>
      <w:r w:rsidRPr="0042160A">
        <w:rPr>
          <w:rFonts w:ascii="Arial" w:hAnsi="Arial" w:cs="Arial"/>
          <w:b/>
          <w:bCs/>
          <w:sz w:val="24"/>
          <w:szCs w:val="24"/>
        </w:rPr>
        <w:t xml:space="preserve">3.6 </w:t>
      </w:r>
      <w:r w:rsidRPr="0042160A">
        <w:rPr>
          <w:rFonts w:ascii="Arial" w:hAnsi="Arial" w:cs="Arial"/>
          <w:b/>
          <w:bCs/>
          <w:sz w:val="24"/>
          <w:szCs w:val="24"/>
          <w:u w:val="single"/>
        </w:rPr>
        <w:t>Ayudas de Estado (GBER)</w:t>
      </w:r>
    </w:p>
    <w:p w14:paraId="7C13CBB1" w14:textId="4F436EE0" w:rsidR="00C9374E" w:rsidRPr="0042160A" w:rsidRDefault="00C9374E" w:rsidP="00433A3F">
      <w:pPr>
        <w:jc w:val="both"/>
        <w:rPr>
          <w:rFonts w:ascii="Arial" w:hAnsi="Arial" w:cs="Arial"/>
          <w:sz w:val="24"/>
          <w:szCs w:val="24"/>
        </w:rPr>
      </w:pPr>
      <w:r w:rsidRPr="0042160A">
        <w:rPr>
          <w:rFonts w:ascii="Arial" w:hAnsi="Arial" w:cs="Arial"/>
          <w:sz w:val="24"/>
          <w:szCs w:val="24"/>
        </w:rPr>
        <w:t xml:space="preserve">En los últimos meses, </w:t>
      </w:r>
      <w:r w:rsidR="00853714">
        <w:rPr>
          <w:rFonts w:ascii="Arial" w:hAnsi="Arial" w:cs="Arial"/>
          <w:sz w:val="24"/>
          <w:szCs w:val="24"/>
        </w:rPr>
        <w:t>se han</w:t>
      </w:r>
      <w:r w:rsidRPr="0042160A">
        <w:rPr>
          <w:rFonts w:ascii="Arial" w:hAnsi="Arial" w:cs="Arial"/>
          <w:sz w:val="24"/>
          <w:szCs w:val="24"/>
        </w:rPr>
        <w:t xml:space="preserve"> respondido a consultas europeas sobre ayudas de Estado y Servicios de Interés Económico General para defender el apoyo público a la vivienda inclusiva y ha reactivado acciones conjuntas con asociaciones del sector para proteger las referencias al empleo protegido dentro del Reglamento General de Exención por Categorías (GBER).  </w:t>
      </w:r>
    </w:p>
    <w:p w14:paraId="1E7A455B" w14:textId="1D2DB794" w:rsidR="00C9374E" w:rsidRPr="0042160A" w:rsidRDefault="00C9374E" w:rsidP="00433A3F">
      <w:pPr>
        <w:jc w:val="both"/>
        <w:rPr>
          <w:rFonts w:ascii="Arial" w:hAnsi="Arial" w:cs="Arial"/>
          <w:sz w:val="24"/>
          <w:szCs w:val="24"/>
        </w:rPr>
      </w:pPr>
      <w:r w:rsidRPr="0042160A">
        <w:rPr>
          <w:rFonts w:ascii="Arial" w:hAnsi="Arial" w:cs="Arial"/>
          <w:sz w:val="24"/>
          <w:szCs w:val="24"/>
        </w:rPr>
        <w:t xml:space="preserve">Se han presentado aportaciones a las consultas públicas sobre los Reglamentos de minimis, con el objetivo de aumentar los límites de ayuda aplicables a los Centros Especiales de Empleo y sobre el propio GBER, para </w:t>
      </w:r>
      <w:r>
        <w:rPr>
          <w:rFonts w:ascii="Arial" w:hAnsi="Arial" w:cs="Arial"/>
          <w:sz w:val="24"/>
          <w:szCs w:val="24"/>
        </w:rPr>
        <w:t xml:space="preserve">evitar cualquier debilitamiento de los instrumentos existentes de apoyo al </w:t>
      </w:r>
      <w:r w:rsidRPr="0042160A">
        <w:rPr>
          <w:rFonts w:ascii="Arial" w:hAnsi="Arial" w:cs="Arial"/>
          <w:sz w:val="24"/>
          <w:szCs w:val="24"/>
        </w:rPr>
        <w:t xml:space="preserve">empleo de personas con discapacidad y la ampliación de los importes máximos de ayuda. </w:t>
      </w:r>
    </w:p>
    <w:p w14:paraId="53C377DE" w14:textId="77777777" w:rsidR="00C9374E" w:rsidRPr="0042160A" w:rsidRDefault="00C9374E" w:rsidP="00433A3F">
      <w:pPr>
        <w:jc w:val="both"/>
        <w:rPr>
          <w:rFonts w:ascii="Arial" w:hAnsi="Arial" w:cs="Arial"/>
          <w:sz w:val="24"/>
          <w:szCs w:val="24"/>
        </w:rPr>
      </w:pPr>
      <w:r w:rsidRPr="0042160A">
        <w:rPr>
          <w:rFonts w:ascii="Arial" w:hAnsi="Arial" w:cs="Arial"/>
          <w:sz w:val="24"/>
          <w:szCs w:val="24"/>
        </w:rPr>
        <w:t xml:space="preserve">Uno de los objetivos principales es mantener la Sección 6 como categoría independiente que permita ayudas de Estado al empleo de las personas con </w:t>
      </w:r>
      <w:r w:rsidRPr="0042160A">
        <w:rPr>
          <w:rFonts w:ascii="Arial" w:hAnsi="Arial" w:cs="Arial"/>
          <w:sz w:val="24"/>
          <w:szCs w:val="24"/>
        </w:rPr>
        <w:lastRenderedPageBreak/>
        <w:t>discapacidad, sin equipararlas a las ayudas para trabajadores desfavorecidos. También se busca asegurar que las ayudas estatales estén alineadas con la Convención de la ONU sobre los Derechos de las Personas con Discapacidad y con la legislación nacional, sin discriminar por modelo o naturaleza del empleo. La revisión pretende actualizar los umbrales financieros según los precios de 2025, mejorar la flexibilidad para combinar ayudas del GBER con otros marcos como de minimis o SIEGs, y revisar la definición de empleo protegido conforme al Comentario General N.º 8 de la CDPD. </w:t>
      </w:r>
    </w:p>
    <w:p w14:paraId="0CDA6840" w14:textId="2B8C2CE5" w:rsidR="00C9374E" w:rsidRDefault="00C9374E" w:rsidP="00433A3F">
      <w:pPr>
        <w:jc w:val="both"/>
      </w:pPr>
      <w:r w:rsidRPr="0042160A">
        <w:rPr>
          <w:rFonts w:ascii="Arial" w:hAnsi="Arial" w:cs="Arial"/>
          <w:sz w:val="24"/>
          <w:szCs w:val="24"/>
        </w:rPr>
        <w:t xml:space="preserve">Otro de los objetivos es evitar restricciones generalizadas </w:t>
      </w:r>
      <w:r>
        <w:rPr>
          <w:rFonts w:ascii="Arial" w:hAnsi="Arial" w:cs="Arial"/>
          <w:sz w:val="24"/>
          <w:szCs w:val="24"/>
        </w:rPr>
        <w:t xml:space="preserve">en la definición de </w:t>
      </w:r>
      <w:r w:rsidRPr="0042160A">
        <w:rPr>
          <w:rFonts w:ascii="Arial" w:hAnsi="Arial" w:cs="Arial"/>
          <w:sz w:val="24"/>
          <w:szCs w:val="24"/>
        </w:rPr>
        <w:t>“empleo protegido</w:t>
      </w:r>
      <w:r>
        <w:rPr>
          <w:rFonts w:ascii="Arial" w:hAnsi="Arial" w:cs="Arial"/>
          <w:sz w:val="24"/>
          <w:szCs w:val="24"/>
        </w:rPr>
        <w:t>”</w:t>
      </w:r>
      <w:r w:rsidRPr="0042160A">
        <w:rPr>
          <w:rFonts w:ascii="Arial" w:hAnsi="Arial" w:cs="Arial"/>
          <w:sz w:val="24"/>
          <w:szCs w:val="24"/>
        </w:rPr>
        <w:t>, reconociendo que ciertos modelos inclusivos, especialmente los gestionados por personas con discapacidad y vinculados a la economía social, pueden estar alineados con la Convención y deben seguir siendo elegibles para recibir apoyo.</w:t>
      </w:r>
      <w:r>
        <w:rPr>
          <w:rFonts w:ascii="Arial" w:hAnsi="Arial" w:cs="Arial"/>
          <w:sz w:val="24"/>
          <w:szCs w:val="24"/>
        </w:rPr>
        <w:t xml:space="preserve"> Así como asegurar que la definición de “empresa social” sea coherente con la Recomendación del Consejo sobre el desarrollo de las condiciones marco de la economía social y reforzar la flexibilidad financiera, en particular en lo relativo a la acumulación de ayudas. </w:t>
      </w:r>
    </w:p>
    <w:p w14:paraId="31DE289B" w14:textId="77777777" w:rsidR="00114495" w:rsidRPr="0042160A" w:rsidRDefault="00114495" w:rsidP="00433A3F">
      <w:pPr>
        <w:ind w:left="720"/>
        <w:jc w:val="both"/>
        <w:rPr>
          <w:rFonts w:ascii="Arial" w:hAnsi="Arial" w:cs="Arial"/>
          <w:b/>
          <w:bCs/>
          <w:sz w:val="24"/>
          <w:szCs w:val="24"/>
          <w:u w:val="single"/>
        </w:rPr>
      </w:pPr>
      <w:r w:rsidRPr="0042160A">
        <w:rPr>
          <w:rFonts w:ascii="Arial" w:hAnsi="Arial" w:cs="Arial"/>
          <w:b/>
          <w:bCs/>
          <w:sz w:val="24"/>
          <w:szCs w:val="24"/>
        </w:rPr>
        <w:t xml:space="preserve">3.7 </w:t>
      </w:r>
      <w:r w:rsidRPr="0042160A">
        <w:rPr>
          <w:rFonts w:ascii="Arial" w:hAnsi="Arial" w:cs="Arial"/>
          <w:b/>
          <w:bCs/>
          <w:sz w:val="24"/>
          <w:szCs w:val="24"/>
          <w:u w:val="single"/>
        </w:rPr>
        <w:t>Hoja de Ruta para el Empleo de Calidad</w:t>
      </w:r>
    </w:p>
    <w:p w14:paraId="32C8957B"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El 4 de diciembre, la Comisión europea presentó la Hoja de Ruta para el Empleo de Calidad, una comunicación en la que afirma su compromiso de establecer una agenda integral para reforzar la calidad del empleo como palanca para la competitividad, la participación en la fuerza laboral y la cohesión social. La Hoja de Ruta para el Empleo de Calidad se basa en varias iniciativas, como la Brújula para la Competitividad, la Unión de las Competencias y el Pacto por una Industria Limpia, que subrayan que el empleo de calidad, incluido el empleo de las personas con discapacidad, es clave para la competitividad, el crecimiento sostenible y un modelo social europeo sólido. Estas prioridades se reflejan, según la Comisión Europea, en la propuesta de marco financiero plurianual, que asigna al menos el 14 % de la financiación de los acuerdos de colaboración nacionales y regionales a los objetivos sociales de la UE.</w:t>
      </w:r>
    </w:p>
    <w:p w14:paraId="541B5AFC"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 xml:space="preserve">La Comisión inició una primera consulta pública en 2025, abierta hasta finales de enero 2026. Una segunda consulta pública está prevista durante este año, y la publicación de la propuesta  de Ley de empleos de Calidad está revista para el Q4 2026. </w:t>
      </w:r>
    </w:p>
    <w:p w14:paraId="387E6471" w14:textId="77777777" w:rsidR="00114495" w:rsidRPr="0042160A" w:rsidRDefault="00114495" w:rsidP="00433A3F">
      <w:pPr>
        <w:ind w:left="720"/>
        <w:jc w:val="both"/>
        <w:rPr>
          <w:rFonts w:ascii="Arial" w:hAnsi="Arial" w:cs="Arial"/>
          <w:b/>
          <w:bCs/>
          <w:sz w:val="24"/>
          <w:szCs w:val="24"/>
          <w:u w:val="single"/>
        </w:rPr>
      </w:pPr>
      <w:r w:rsidRPr="0042160A">
        <w:rPr>
          <w:rFonts w:ascii="Arial" w:hAnsi="Arial" w:cs="Arial"/>
          <w:b/>
          <w:bCs/>
          <w:sz w:val="24"/>
          <w:szCs w:val="24"/>
        </w:rPr>
        <w:t xml:space="preserve">3.8 </w:t>
      </w:r>
      <w:r w:rsidRPr="0042160A">
        <w:rPr>
          <w:rFonts w:ascii="Arial" w:hAnsi="Arial" w:cs="Arial"/>
          <w:b/>
          <w:bCs/>
          <w:sz w:val="24"/>
          <w:szCs w:val="24"/>
          <w:u w:val="single"/>
        </w:rPr>
        <w:t>Plan de Acción sobre el Pilar Europeo de Derechos Sociales</w:t>
      </w:r>
    </w:p>
    <w:p w14:paraId="63E0164B" w14:textId="77777777" w:rsidR="00114495" w:rsidRPr="0042160A" w:rsidRDefault="00114495" w:rsidP="00433A3F">
      <w:pPr>
        <w:jc w:val="both"/>
        <w:rPr>
          <w:rFonts w:ascii="Arial" w:hAnsi="Arial" w:cs="Arial"/>
          <w:sz w:val="24"/>
          <w:szCs w:val="24"/>
        </w:rPr>
      </w:pPr>
      <w:r w:rsidRPr="0042160A">
        <w:rPr>
          <w:rFonts w:ascii="Arial" w:hAnsi="Arial" w:cs="Arial"/>
          <w:sz w:val="24"/>
          <w:szCs w:val="24"/>
        </w:rPr>
        <w:t xml:space="preserve">Proclamado en 2017 en la Cumbre de Gotemburgo por el Parlamento, la Comisión y el Consejo de forma conjunta, el Pilar Europeo de Derechos Sociales recoge 20 derechos fundamentales en los ámbitos de la igualdad de oportunidades y el acceso al mercado laboral, las condiciones de trabajo justas </w:t>
      </w:r>
      <w:r w:rsidRPr="0042160A">
        <w:rPr>
          <w:rFonts w:ascii="Arial" w:hAnsi="Arial" w:cs="Arial"/>
          <w:sz w:val="24"/>
          <w:szCs w:val="24"/>
        </w:rPr>
        <w:lastRenderedPageBreak/>
        <w:t>y la protección e inclusión sociales. Entre estos 20 derechos, destacan algunos de especial relevancia para la FO/GSO, tales como:</w:t>
      </w:r>
    </w:p>
    <w:p w14:paraId="26C433E2" w14:textId="77777777" w:rsidR="00114495" w:rsidRPr="0042160A" w:rsidRDefault="00114495" w:rsidP="00433A3F">
      <w:pPr>
        <w:pStyle w:val="Prrafodelista"/>
        <w:numPr>
          <w:ilvl w:val="0"/>
          <w:numId w:val="12"/>
        </w:numPr>
        <w:spacing w:after="160"/>
        <w:contextualSpacing/>
        <w:jc w:val="both"/>
        <w:rPr>
          <w:rFonts w:ascii="Arial" w:hAnsi="Arial" w:cs="Arial"/>
          <w:sz w:val="24"/>
          <w:szCs w:val="24"/>
        </w:rPr>
      </w:pPr>
      <w:r w:rsidRPr="0042160A">
        <w:rPr>
          <w:rFonts w:ascii="Arial" w:hAnsi="Arial" w:cs="Arial"/>
          <w:sz w:val="24"/>
          <w:szCs w:val="24"/>
        </w:rPr>
        <w:t>Educación, formación y aprendizaje permanente</w:t>
      </w:r>
    </w:p>
    <w:p w14:paraId="50072983" w14:textId="77777777" w:rsidR="00114495" w:rsidRPr="0042160A" w:rsidRDefault="00114495" w:rsidP="00433A3F">
      <w:pPr>
        <w:pStyle w:val="Prrafodelista"/>
        <w:numPr>
          <w:ilvl w:val="0"/>
          <w:numId w:val="12"/>
        </w:numPr>
        <w:spacing w:after="160"/>
        <w:contextualSpacing/>
        <w:jc w:val="both"/>
        <w:rPr>
          <w:rFonts w:ascii="Arial" w:hAnsi="Arial" w:cs="Arial"/>
          <w:sz w:val="24"/>
          <w:szCs w:val="24"/>
        </w:rPr>
      </w:pPr>
      <w:r w:rsidRPr="0042160A">
        <w:rPr>
          <w:rFonts w:ascii="Arial" w:hAnsi="Arial" w:cs="Arial"/>
          <w:sz w:val="24"/>
          <w:szCs w:val="24"/>
        </w:rPr>
        <w:t>Inclusión de las personas con discapacidad</w:t>
      </w:r>
    </w:p>
    <w:p w14:paraId="3DD05A36" w14:textId="77777777" w:rsidR="00114495" w:rsidRPr="0042160A" w:rsidRDefault="00114495" w:rsidP="00433A3F">
      <w:pPr>
        <w:pStyle w:val="Prrafodelista"/>
        <w:numPr>
          <w:ilvl w:val="0"/>
          <w:numId w:val="12"/>
        </w:numPr>
        <w:spacing w:after="160"/>
        <w:contextualSpacing/>
        <w:jc w:val="both"/>
        <w:rPr>
          <w:rFonts w:ascii="Arial" w:hAnsi="Arial" w:cs="Arial"/>
          <w:sz w:val="24"/>
          <w:szCs w:val="24"/>
        </w:rPr>
      </w:pPr>
      <w:r w:rsidRPr="0042160A">
        <w:rPr>
          <w:rFonts w:ascii="Arial" w:hAnsi="Arial" w:cs="Arial"/>
          <w:sz w:val="24"/>
          <w:szCs w:val="24"/>
        </w:rPr>
        <w:t>Acceso a los servicios esenciales</w:t>
      </w:r>
    </w:p>
    <w:p w14:paraId="7D21985D" w14:textId="7DE86F58" w:rsidR="00114495" w:rsidRPr="0042160A" w:rsidRDefault="00114495" w:rsidP="00433A3F">
      <w:pPr>
        <w:jc w:val="both"/>
        <w:rPr>
          <w:rFonts w:ascii="Arial" w:hAnsi="Arial" w:cs="Arial"/>
          <w:sz w:val="24"/>
          <w:szCs w:val="24"/>
        </w:rPr>
      </w:pPr>
      <w:r w:rsidRPr="0042160A">
        <w:rPr>
          <w:rFonts w:ascii="Arial" w:hAnsi="Arial" w:cs="Arial"/>
          <w:sz w:val="24"/>
          <w:szCs w:val="24"/>
        </w:rPr>
        <w:t xml:space="preserve">El objetivo del Plan de Acción sobre el Pilar Europeo de Derechos Sociales es traducir estos derechos en medidas concretas que aporten beneficios reales a los ciudadanos. </w:t>
      </w:r>
    </w:p>
    <w:p w14:paraId="0CDF2452" w14:textId="77777777" w:rsidR="00114495" w:rsidRPr="0042160A" w:rsidRDefault="00114495" w:rsidP="00433A3F">
      <w:pPr>
        <w:pStyle w:val="Prrafodelista"/>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3.9 </w:t>
      </w:r>
      <w:r w:rsidRPr="0042160A">
        <w:rPr>
          <w:rFonts w:ascii="Arial" w:eastAsia="Calibri" w:hAnsi="Arial" w:cs="Arial"/>
          <w:b/>
          <w:sz w:val="24"/>
          <w:szCs w:val="24"/>
          <w:u w:val="single"/>
        </w:rPr>
        <w:t>Estrategia de Igualdad de Género</w:t>
      </w:r>
    </w:p>
    <w:p w14:paraId="67810D11"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 xml:space="preserve">A modo de recordatorio, en marzo de 2025 la Comisión adoptó la </w:t>
      </w:r>
      <w:r w:rsidRPr="0042160A">
        <w:rPr>
          <w:rFonts w:ascii="Arial" w:eastAsia="Calibri" w:hAnsi="Arial" w:cs="Arial"/>
          <w:bCs/>
          <w:i/>
          <w:iCs/>
          <w:sz w:val="24"/>
          <w:szCs w:val="24"/>
        </w:rPr>
        <w:t>Roadmap for Women’s Rights</w:t>
      </w:r>
      <w:r w:rsidRPr="0042160A">
        <w:rPr>
          <w:rFonts w:ascii="Arial" w:eastAsia="Calibri" w:hAnsi="Arial" w:cs="Arial"/>
          <w:bCs/>
          <w:sz w:val="24"/>
          <w:szCs w:val="24"/>
        </w:rPr>
        <w:t>, que ofrece una visión política a largo plazo para guiar futuras acciones de igualdad de género más allá de 2025. Esta hoja de ruta, acompañada de una Declaración de principios para una sociedad igualitaria, subraya la necesidad de medidas en ámbitos como libertad frente a violencia, participación política, salud, condiciones laborales y educación con perspectiva de género.</w:t>
      </w:r>
    </w:p>
    <w:p w14:paraId="5CDF369E"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El mismo mes se publicó el Informe de Igualdad de Género 2025, constituyendo el quinto y último informe bajo esta estrategia y evalúa el grado de avance en los cinco pilares clave del marco. Señala progresos históricos en ámbitos como transparencia salarial, equilibrio en consejos de administración y protección contra la violencia, pero también pone de manifiesto límites estructurales persistentes y desigualdades profundas.</w:t>
      </w:r>
    </w:p>
    <w:p w14:paraId="7A3F2562"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Un foco político reciente y transversal ha sido la igualdad de género en la era digital y frente a la inteligencia artificial (IA). En junio de 2025, el Consejo de la UE adoptó conclusiones que piden acciones específicas para abordar desigualdades de género facilitadas por la tecnología y la violencia digital, promoviendo marcos de cooperación entre plataformas digitales y mayor protección para mujeres y niñas en espacios tecnológicos.</w:t>
      </w:r>
    </w:p>
    <w:p w14:paraId="638A2692"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En noviembre de 2025, el Parlamento Europeo aprobó un informe que insta a la Comisión a presentar una nueva Estrategia ambiciosa de Igualdad de Género para 2026-2030, con propuestas legislativas y no legislativas específicas para abordar la violencia de género, salud reproductiva (incluido el acceso al aborto seguro y legal), así como empleo y brechas salariales.</w:t>
      </w:r>
    </w:p>
    <w:p w14:paraId="45F6A68D" w14:textId="7777777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 xml:space="preserve">La futura Estrategia de Igualdad de Género para 2026-2030 está prevista como una prioridad clave para la Comisión en este ciclo político. En la Carta de Intenciones del discurso del Estado de la Unión de septiembre de 2025, la presidenta von der Leyen reiteró su intención de adoptar un nuevo marco </w:t>
      </w:r>
      <w:r w:rsidRPr="0042160A">
        <w:rPr>
          <w:rFonts w:ascii="Arial" w:eastAsia="Calibri" w:hAnsi="Arial" w:cs="Arial"/>
          <w:bCs/>
          <w:sz w:val="24"/>
          <w:szCs w:val="24"/>
        </w:rPr>
        <w:lastRenderedPageBreak/>
        <w:t>estratégico que recoja los aprendizajes de 2020-2025 y responda a contextos emergentes</w:t>
      </w:r>
    </w:p>
    <w:p w14:paraId="22603E33" w14:textId="77777777" w:rsidR="00114495" w:rsidRPr="0042160A" w:rsidRDefault="00114495" w:rsidP="00433A3F">
      <w:pPr>
        <w:pStyle w:val="Prrafodelista"/>
        <w:jc w:val="both"/>
        <w:outlineLvl w:val="0"/>
        <w:rPr>
          <w:rFonts w:ascii="Arial" w:eastAsia="Calibri" w:hAnsi="Arial" w:cs="Arial"/>
          <w:b/>
          <w:sz w:val="24"/>
          <w:szCs w:val="24"/>
          <w:u w:val="single"/>
        </w:rPr>
      </w:pPr>
      <w:r w:rsidRPr="0042160A">
        <w:rPr>
          <w:rFonts w:ascii="Arial" w:eastAsia="Calibri" w:hAnsi="Arial" w:cs="Arial"/>
          <w:b/>
          <w:sz w:val="24"/>
          <w:szCs w:val="24"/>
        </w:rPr>
        <w:t xml:space="preserve">3.10 </w:t>
      </w:r>
      <w:r w:rsidRPr="0042160A">
        <w:rPr>
          <w:rFonts w:ascii="Arial" w:eastAsia="Calibri" w:hAnsi="Arial" w:cs="Arial"/>
          <w:b/>
          <w:sz w:val="24"/>
          <w:szCs w:val="24"/>
          <w:u w:val="single"/>
        </w:rPr>
        <w:t>Estrategia Europea para la Sociedad Civil</w:t>
      </w:r>
    </w:p>
    <w:p w14:paraId="613EEF3C" w14:textId="7777777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 xml:space="preserve">A modo de recordatorio, dentro de su pilar de gobernanza la Estrategia anunció reforzar la participación efectiva y significativa de la sociedad civil mediante la creación de la Plataforma de la Sociedad Civil, que ofrecerá un marco regular y estructurado para la interacción con las organizaciones de la sociedad civil en los ámbitos relevantes para la defensa de los valores de la UE. Para ponerla en marcha, la Comisión creará un sitio web específico en el que publicará información y recursos sobre su funcionamiento, así como sobre los diálogos que mantiene con la sociedad civil en otras áreas políticas, y organizará, junto con el Comité Económico y Social Europeo (CESE), una cumbre anual con la que generar sinergias entre los diálogos existentes y debatir las prioridades estratégicas. </w:t>
      </w:r>
    </w:p>
    <w:p w14:paraId="466CC04A" w14:textId="5904873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 xml:space="preserve">No obstante, por el momento no se ha fijado una fecha concreta ni para la creación de la Plataforma ni para la celebración de la primera cumbre, por lo que habrá que esperar a conocer su calendario y sus modalidades de participación. </w:t>
      </w:r>
    </w:p>
    <w:p w14:paraId="5519BB83" w14:textId="77777777" w:rsidR="00114495" w:rsidRPr="0042160A" w:rsidRDefault="00114495" w:rsidP="00433A3F">
      <w:pPr>
        <w:pStyle w:val="Prrafodelista"/>
        <w:jc w:val="both"/>
        <w:outlineLvl w:val="0"/>
        <w:rPr>
          <w:rFonts w:ascii="Arial" w:eastAsia="Calibri" w:hAnsi="Arial" w:cs="Arial"/>
          <w:b/>
          <w:bCs/>
          <w:sz w:val="24"/>
          <w:szCs w:val="24"/>
          <w:u w:val="single"/>
        </w:rPr>
      </w:pPr>
      <w:r w:rsidRPr="0042160A">
        <w:rPr>
          <w:rFonts w:ascii="Arial" w:eastAsia="Calibri" w:hAnsi="Arial" w:cs="Arial"/>
          <w:b/>
          <w:sz w:val="24"/>
          <w:szCs w:val="24"/>
        </w:rPr>
        <w:t xml:space="preserve">3.11 </w:t>
      </w:r>
      <w:r w:rsidRPr="0042160A">
        <w:rPr>
          <w:rFonts w:ascii="Arial" w:eastAsia="Calibri" w:hAnsi="Arial" w:cs="Arial"/>
          <w:b/>
          <w:bCs/>
          <w:sz w:val="24"/>
          <w:szCs w:val="24"/>
          <w:u w:val="single"/>
        </w:rPr>
        <w:t>Agenda del Consumidor 2030 y plan de acción para los consumidores en el mercado único “Un nuevo impulso para la protección de los consumidores, la competitividad y el crecimiento sostenible”</w:t>
      </w:r>
    </w:p>
    <w:p w14:paraId="573B6841" w14:textId="77777777" w:rsidR="00114495" w:rsidRPr="0042160A" w:rsidRDefault="00114495" w:rsidP="00433A3F">
      <w:pPr>
        <w:jc w:val="both"/>
        <w:outlineLvl w:val="0"/>
        <w:rPr>
          <w:rFonts w:ascii="Arial" w:eastAsia="Calibri" w:hAnsi="Arial" w:cs="Arial"/>
          <w:bCs/>
          <w:sz w:val="24"/>
          <w:szCs w:val="24"/>
        </w:rPr>
      </w:pPr>
      <w:r w:rsidRPr="0042160A">
        <w:rPr>
          <w:rFonts w:ascii="Arial" w:eastAsia="Calibri" w:hAnsi="Arial" w:cs="Arial"/>
          <w:bCs/>
          <w:sz w:val="24"/>
          <w:szCs w:val="24"/>
        </w:rPr>
        <w:t>La Agenda del Consumidor 2030 de la Unión Europea reconoce un alto nivel de protección al consumidor, pero identifica importantes desafíos derivados del aumento del coste de la vida, la digitalización, el comercio electrónico y la sostenibilidad. Los consumidores en situación de vulnerabilidad, incluidas las personas con discapacidad, se enfrentan a mayores barreras en el acceso a bienes, servicios y a la protección efectiva de sus derechos. La transformación digital y ecológica está avanzando rápidamente, sin que siempre se garantice la accesibilidad y la equidad.</w:t>
      </w:r>
    </w:p>
    <w:p w14:paraId="1D1B7363" w14:textId="7777777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Se busca reforzar la protección del consumidor como motor de competitividad, justicia social y crecimiento sostenible. Se pretende garantizar un mercado único accesible, seguro y justo, especialmente en entornos digitales y transfronterizos, promoviendo la inclusión y la confianza. Asimismo, se impulsa un consumo más sostenible y alineado con los derechos fundamentales.</w:t>
      </w:r>
    </w:p>
    <w:p w14:paraId="41265469" w14:textId="7777777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Dentro de esta agenda, está previsto la publicación de la Ley de Equidad Digital y la Propuesta legislativa de revisión del Reglamento de Cooperación en materia de Protección de los Consumidores durante el Q4 de 2026.</w:t>
      </w:r>
    </w:p>
    <w:p w14:paraId="0BBFA3E5" w14:textId="77777777" w:rsidR="00D511B7" w:rsidRDefault="00D511B7" w:rsidP="00CE57D1">
      <w:pPr>
        <w:jc w:val="both"/>
        <w:rPr>
          <w:rFonts w:ascii="Arial" w:eastAsia="Calibri" w:hAnsi="Arial" w:cs="Arial"/>
          <w:bCs/>
          <w:sz w:val="24"/>
          <w:szCs w:val="24"/>
        </w:rPr>
      </w:pPr>
    </w:p>
    <w:p w14:paraId="51FF42EF" w14:textId="77777777" w:rsidR="00B817B4" w:rsidRPr="00B817B4" w:rsidRDefault="00B817B4" w:rsidP="00433A3F">
      <w:pPr>
        <w:numPr>
          <w:ilvl w:val="0"/>
          <w:numId w:val="11"/>
        </w:numPr>
        <w:shd w:val="clear" w:color="auto" w:fill="A5C9EB"/>
        <w:spacing w:after="160" w:line="259" w:lineRule="auto"/>
        <w:jc w:val="both"/>
        <w:rPr>
          <w:rFonts w:ascii="Arial" w:hAnsi="Arial" w:cs="Arial"/>
          <w:b/>
          <w:color w:val="000000"/>
          <w:sz w:val="24"/>
          <w:szCs w:val="24"/>
          <w:lang w:val="es-ES_tradnl"/>
        </w:rPr>
      </w:pPr>
      <w:r>
        <w:rPr>
          <w:rFonts w:ascii="Arial" w:hAnsi="Arial" w:cs="Arial"/>
          <w:b/>
          <w:color w:val="000000"/>
          <w:sz w:val="24"/>
          <w:szCs w:val="24"/>
          <w:lang w:val="es-ES_tradnl"/>
        </w:rPr>
        <w:lastRenderedPageBreak/>
        <w:t xml:space="preserve">DICTÁMENES </w:t>
      </w:r>
      <w:r w:rsidR="00D02649">
        <w:rPr>
          <w:rFonts w:ascii="Arial" w:hAnsi="Arial" w:cs="Arial"/>
          <w:b/>
          <w:color w:val="000000"/>
          <w:sz w:val="24"/>
          <w:szCs w:val="24"/>
          <w:lang w:val="es-ES_tradnl"/>
        </w:rPr>
        <w:t>DEL COMITÉ ECONÓMICO SOCIAL EUROPEO (</w:t>
      </w:r>
      <w:r>
        <w:rPr>
          <w:rFonts w:ascii="Arial" w:hAnsi="Arial" w:cs="Arial"/>
          <w:b/>
          <w:color w:val="000000"/>
          <w:sz w:val="24"/>
          <w:szCs w:val="24"/>
          <w:lang w:val="es-ES_tradnl"/>
        </w:rPr>
        <w:t>CESE</w:t>
      </w:r>
      <w:r w:rsidR="00D02649">
        <w:rPr>
          <w:rFonts w:ascii="Arial" w:hAnsi="Arial" w:cs="Arial"/>
          <w:b/>
          <w:color w:val="000000"/>
          <w:sz w:val="24"/>
          <w:szCs w:val="24"/>
          <w:lang w:val="es-ES_tradnl"/>
        </w:rPr>
        <w:t>)</w:t>
      </w:r>
    </w:p>
    <w:p w14:paraId="48B7B440" w14:textId="77777777" w:rsidR="00B817B4" w:rsidRDefault="00B817B4" w:rsidP="00433A3F">
      <w:pPr>
        <w:numPr>
          <w:ilvl w:val="1"/>
          <w:numId w:val="11"/>
        </w:numPr>
        <w:jc w:val="both"/>
        <w:rPr>
          <w:rFonts w:ascii="Arial" w:eastAsia="Calibri" w:hAnsi="Arial" w:cs="Arial"/>
          <w:bCs/>
          <w:sz w:val="24"/>
          <w:szCs w:val="24"/>
        </w:rPr>
      </w:pPr>
      <w:r w:rsidRPr="00B817B4">
        <w:rPr>
          <w:rFonts w:ascii="Arial" w:eastAsia="Calibri" w:hAnsi="Arial" w:cs="Arial"/>
          <w:b/>
          <w:sz w:val="24"/>
          <w:szCs w:val="24"/>
        </w:rPr>
        <w:t>SOC/852 “Competitividad y emprendimiento juvenil en la UE” (Dictamen exploratorio solicitado por la Presidencia chipriota del Consejo de la UE). Aprobado en Plenario de abril.</w:t>
      </w:r>
      <w:r w:rsidRPr="00B817B4">
        <w:rPr>
          <w:rFonts w:ascii="Arial" w:eastAsia="Calibri" w:hAnsi="Arial" w:cs="Arial"/>
          <w:bCs/>
          <w:sz w:val="24"/>
          <w:szCs w:val="24"/>
        </w:rPr>
        <w:t xml:space="preserve"> El Dictamen recoge las propuestas realizadas por Lourdes Márquez</w:t>
      </w:r>
      <w:r>
        <w:rPr>
          <w:rFonts w:ascii="Arial" w:eastAsia="Calibri" w:hAnsi="Arial" w:cs="Arial"/>
          <w:bCs/>
          <w:sz w:val="24"/>
          <w:szCs w:val="24"/>
        </w:rPr>
        <w:t>, directora de Alianzas y Relaciones Internacionales</w:t>
      </w:r>
      <w:r w:rsidR="001A1269">
        <w:rPr>
          <w:rFonts w:ascii="Arial" w:eastAsia="Calibri" w:hAnsi="Arial" w:cs="Arial"/>
          <w:bCs/>
          <w:sz w:val="24"/>
          <w:szCs w:val="24"/>
        </w:rPr>
        <w:t xml:space="preserve"> de Fundación ONCE,</w:t>
      </w:r>
      <w:r w:rsidRPr="00B817B4">
        <w:rPr>
          <w:rFonts w:ascii="Arial" w:eastAsia="Calibri" w:hAnsi="Arial" w:cs="Arial"/>
          <w:bCs/>
          <w:sz w:val="24"/>
          <w:szCs w:val="24"/>
        </w:rPr>
        <w:t xml:space="preserve"> para poner en valor el papel esencial de las entidades de la economía social como motor del emprendimiento juvenil, en particular entre las personas jóvenes con discapacidad.</w:t>
      </w:r>
    </w:p>
    <w:p w14:paraId="4A8AC488" w14:textId="77777777" w:rsidR="001A1269" w:rsidRPr="00A40C3B" w:rsidRDefault="001A1269" w:rsidP="00433A3F">
      <w:pPr>
        <w:numPr>
          <w:ilvl w:val="1"/>
          <w:numId w:val="11"/>
        </w:numPr>
        <w:jc w:val="both"/>
        <w:rPr>
          <w:rFonts w:ascii="Arial" w:eastAsia="Calibri" w:hAnsi="Arial" w:cs="Arial"/>
          <w:b/>
          <w:sz w:val="24"/>
          <w:szCs w:val="24"/>
        </w:rPr>
      </w:pPr>
      <w:r w:rsidRPr="001A1269">
        <w:rPr>
          <w:rFonts w:ascii="Arial" w:eastAsia="Calibri" w:hAnsi="Arial" w:cs="Arial"/>
          <w:b/>
          <w:sz w:val="24"/>
          <w:szCs w:val="24"/>
        </w:rPr>
        <w:t>NAT/986</w:t>
      </w:r>
      <w:r>
        <w:rPr>
          <w:rFonts w:ascii="Arial" w:eastAsia="Calibri" w:hAnsi="Arial" w:cs="Arial"/>
          <w:b/>
          <w:sz w:val="24"/>
          <w:szCs w:val="24"/>
        </w:rPr>
        <w:t xml:space="preserve"> “</w:t>
      </w:r>
      <w:r w:rsidRPr="001A1269">
        <w:rPr>
          <w:rFonts w:ascii="Arial" w:eastAsia="Calibri" w:hAnsi="Arial" w:cs="Arial"/>
          <w:b/>
          <w:sz w:val="24"/>
          <w:szCs w:val="24"/>
        </w:rPr>
        <w:t>Circular Economy Act “Economía circular y consumo responsable de recursos dentro de los límites del planeta”</w:t>
      </w:r>
      <w:r w:rsidRPr="001A1269">
        <w:rPr>
          <w:rFonts w:ascii="Arial" w:eastAsia="Calibri" w:hAnsi="Arial" w:cs="Arial"/>
          <w:bCs/>
          <w:sz w:val="24"/>
          <w:szCs w:val="24"/>
        </w:rPr>
        <w:t>. Reconoce a la economía social como actor clave de la economía circular y no solo como beneficiarios.</w:t>
      </w:r>
    </w:p>
    <w:p w14:paraId="48A2619C" w14:textId="77777777" w:rsidR="00A40C3B" w:rsidRPr="0037090F" w:rsidRDefault="00A40C3B" w:rsidP="00433A3F">
      <w:pPr>
        <w:numPr>
          <w:ilvl w:val="1"/>
          <w:numId w:val="11"/>
        </w:numPr>
        <w:jc w:val="both"/>
        <w:rPr>
          <w:rFonts w:ascii="Arial" w:eastAsia="Calibri" w:hAnsi="Arial" w:cs="Arial"/>
          <w:b/>
          <w:sz w:val="24"/>
          <w:szCs w:val="24"/>
        </w:rPr>
      </w:pPr>
      <w:r w:rsidRPr="00A40C3B">
        <w:rPr>
          <w:rFonts w:ascii="Arial" w:eastAsia="Calibri" w:hAnsi="Arial" w:cs="Arial"/>
          <w:b/>
          <w:sz w:val="24"/>
          <w:szCs w:val="24"/>
        </w:rPr>
        <w:t>EESC-2024-03043 ‒ INT/1071</w:t>
      </w:r>
      <w:r>
        <w:rPr>
          <w:rFonts w:ascii="Arial" w:eastAsia="Calibri" w:hAnsi="Arial" w:cs="Arial"/>
          <w:b/>
          <w:sz w:val="24"/>
          <w:szCs w:val="24"/>
        </w:rPr>
        <w:t xml:space="preserve"> “</w:t>
      </w:r>
      <w:r w:rsidRPr="00A40C3B">
        <w:rPr>
          <w:rFonts w:ascii="Arial" w:eastAsia="Calibri" w:hAnsi="Arial" w:cs="Arial"/>
          <w:b/>
          <w:sz w:val="24"/>
          <w:szCs w:val="24"/>
        </w:rPr>
        <w:t>Cómo apoyar a las entidades de la economía social de conformidad con las normas sobre ayudas estatales: reflexiones tras las sugerencias del informe de Enrico Letta</w:t>
      </w:r>
      <w:r>
        <w:rPr>
          <w:rFonts w:ascii="Arial" w:eastAsia="Calibri" w:hAnsi="Arial" w:cs="Arial"/>
          <w:b/>
          <w:sz w:val="24"/>
          <w:szCs w:val="24"/>
        </w:rPr>
        <w:t xml:space="preserve">”. </w:t>
      </w:r>
      <w:r w:rsidRPr="00A40C3B">
        <w:rPr>
          <w:rFonts w:ascii="Arial" w:eastAsia="Calibri" w:hAnsi="Arial" w:cs="Arial"/>
          <w:bCs/>
          <w:sz w:val="24"/>
          <w:szCs w:val="24"/>
        </w:rPr>
        <w:t>Subraya la importancia de conciliar la necesidad de un fuerte apoyo público a las entidades de la economía social con las normas de la U</w:t>
      </w:r>
      <w:r>
        <w:rPr>
          <w:rFonts w:ascii="Arial" w:eastAsia="Calibri" w:hAnsi="Arial" w:cs="Arial"/>
          <w:bCs/>
          <w:sz w:val="24"/>
          <w:szCs w:val="24"/>
        </w:rPr>
        <w:t xml:space="preserve">nión </w:t>
      </w:r>
      <w:r w:rsidRPr="00A40C3B">
        <w:rPr>
          <w:rFonts w:ascii="Arial" w:eastAsia="Calibri" w:hAnsi="Arial" w:cs="Arial"/>
          <w:bCs/>
          <w:sz w:val="24"/>
          <w:szCs w:val="24"/>
        </w:rPr>
        <w:t>E</w:t>
      </w:r>
      <w:r>
        <w:rPr>
          <w:rFonts w:ascii="Arial" w:eastAsia="Calibri" w:hAnsi="Arial" w:cs="Arial"/>
          <w:bCs/>
          <w:sz w:val="24"/>
          <w:szCs w:val="24"/>
        </w:rPr>
        <w:t>uropea</w:t>
      </w:r>
      <w:r w:rsidRPr="00A40C3B">
        <w:rPr>
          <w:rFonts w:ascii="Arial" w:eastAsia="Calibri" w:hAnsi="Arial" w:cs="Arial"/>
          <w:bCs/>
          <w:sz w:val="24"/>
          <w:szCs w:val="24"/>
        </w:rPr>
        <w:t xml:space="preserve"> sobre ayudas estatales</w:t>
      </w:r>
      <w:r>
        <w:rPr>
          <w:rFonts w:ascii="Arial" w:eastAsia="Calibri" w:hAnsi="Arial" w:cs="Arial"/>
          <w:bCs/>
          <w:sz w:val="24"/>
          <w:szCs w:val="24"/>
        </w:rPr>
        <w:t xml:space="preserve"> y </w:t>
      </w:r>
      <w:r w:rsidRPr="00A40C3B">
        <w:rPr>
          <w:rFonts w:ascii="Arial" w:eastAsia="Calibri" w:hAnsi="Arial" w:cs="Arial"/>
          <w:bCs/>
          <w:sz w:val="24"/>
          <w:szCs w:val="24"/>
        </w:rPr>
        <w:t>para garantizar respuestas concretas a las necesidades sociales de los europeos</w:t>
      </w:r>
      <w:r>
        <w:rPr>
          <w:rFonts w:ascii="Arial" w:eastAsia="Calibri" w:hAnsi="Arial" w:cs="Arial"/>
          <w:bCs/>
          <w:sz w:val="24"/>
          <w:szCs w:val="24"/>
        </w:rPr>
        <w:t>.</w:t>
      </w:r>
    </w:p>
    <w:p w14:paraId="18876D19" w14:textId="77777777" w:rsidR="0037090F" w:rsidRPr="0037090F" w:rsidRDefault="0037090F" w:rsidP="00433A3F">
      <w:pPr>
        <w:numPr>
          <w:ilvl w:val="1"/>
          <w:numId w:val="11"/>
        </w:numPr>
        <w:jc w:val="both"/>
        <w:rPr>
          <w:rFonts w:ascii="Arial" w:eastAsia="Calibri" w:hAnsi="Arial" w:cs="Arial"/>
          <w:b/>
          <w:sz w:val="24"/>
          <w:szCs w:val="24"/>
        </w:rPr>
      </w:pPr>
      <w:r w:rsidRPr="0037090F">
        <w:rPr>
          <w:rFonts w:ascii="Arial" w:eastAsia="Calibri" w:hAnsi="Arial" w:cs="Arial"/>
          <w:b/>
          <w:sz w:val="24"/>
          <w:szCs w:val="24"/>
        </w:rPr>
        <w:t>ECO/682-EESC-2025-02245</w:t>
      </w:r>
      <w:r>
        <w:rPr>
          <w:rFonts w:ascii="Arial" w:eastAsia="Calibri" w:hAnsi="Arial" w:cs="Arial"/>
          <w:b/>
          <w:sz w:val="24"/>
          <w:szCs w:val="24"/>
        </w:rPr>
        <w:t xml:space="preserve"> “</w:t>
      </w:r>
      <w:r w:rsidRPr="0037090F">
        <w:rPr>
          <w:rFonts w:ascii="Arial" w:eastAsia="Calibri" w:hAnsi="Arial" w:cs="Arial"/>
          <w:b/>
          <w:sz w:val="24"/>
          <w:szCs w:val="24"/>
        </w:rPr>
        <w:t>Marco financiero plurianual 2028-2034</w:t>
      </w:r>
      <w:r>
        <w:rPr>
          <w:rFonts w:ascii="Arial" w:eastAsia="Calibri" w:hAnsi="Arial" w:cs="Arial"/>
          <w:b/>
          <w:sz w:val="24"/>
          <w:szCs w:val="24"/>
        </w:rPr>
        <w:t xml:space="preserve">”. </w:t>
      </w:r>
      <w:r w:rsidRPr="0037090F">
        <w:rPr>
          <w:rFonts w:ascii="Arial" w:eastAsia="Calibri" w:hAnsi="Arial" w:cs="Arial"/>
          <w:bCs/>
          <w:sz w:val="24"/>
          <w:szCs w:val="24"/>
        </w:rPr>
        <w:t>Por un presupuesto europeo más ambicioso para reforzar la cohesión, la agricultura, el empleo, la innovación, la sociedad civil y la acción exterior de la UE.</w:t>
      </w:r>
    </w:p>
    <w:p w14:paraId="74EE9AED" w14:textId="1CB09931" w:rsidR="00B817B4" w:rsidRPr="00CE57D1" w:rsidRDefault="0037090F" w:rsidP="00433A3F">
      <w:pPr>
        <w:numPr>
          <w:ilvl w:val="1"/>
          <w:numId w:val="11"/>
        </w:numPr>
        <w:jc w:val="both"/>
        <w:rPr>
          <w:rFonts w:ascii="Arial" w:eastAsia="Calibri" w:hAnsi="Arial" w:cs="Arial"/>
          <w:b/>
          <w:sz w:val="24"/>
          <w:szCs w:val="24"/>
        </w:rPr>
      </w:pPr>
      <w:r>
        <w:rPr>
          <w:rFonts w:ascii="Arial" w:eastAsia="Calibri" w:hAnsi="Arial" w:cs="Arial"/>
          <w:b/>
          <w:sz w:val="24"/>
          <w:szCs w:val="24"/>
        </w:rPr>
        <w:t xml:space="preserve"> </w:t>
      </w:r>
      <w:r w:rsidRPr="0037090F">
        <w:rPr>
          <w:rFonts w:ascii="Arial" w:eastAsia="Calibri" w:hAnsi="Arial" w:cs="Arial"/>
          <w:b/>
          <w:sz w:val="24"/>
          <w:szCs w:val="24"/>
        </w:rPr>
        <w:t>REX/611-EESC-2025</w:t>
      </w:r>
      <w:r>
        <w:rPr>
          <w:rFonts w:ascii="Arial" w:eastAsia="Calibri" w:hAnsi="Arial" w:cs="Arial"/>
          <w:b/>
          <w:sz w:val="24"/>
          <w:szCs w:val="24"/>
        </w:rPr>
        <w:t xml:space="preserve"> “</w:t>
      </w:r>
      <w:r w:rsidRPr="0037090F">
        <w:rPr>
          <w:rFonts w:ascii="Arial" w:eastAsia="Calibri" w:hAnsi="Arial" w:cs="Arial"/>
          <w:b/>
          <w:sz w:val="24"/>
          <w:szCs w:val="24"/>
        </w:rPr>
        <w:t>Europa global (propuesta de marco financiero plurianual)</w:t>
      </w:r>
      <w:r>
        <w:rPr>
          <w:rFonts w:ascii="Arial" w:eastAsia="Calibri" w:hAnsi="Arial" w:cs="Arial"/>
          <w:b/>
          <w:sz w:val="24"/>
          <w:szCs w:val="24"/>
        </w:rPr>
        <w:t>”</w:t>
      </w:r>
      <w:r w:rsidR="00D90173">
        <w:rPr>
          <w:rFonts w:ascii="Arial" w:eastAsia="Calibri" w:hAnsi="Arial" w:cs="Arial"/>
          <w:b/>
          <w:sz w:val="24"/>
          <w:szCs w:val="24"/>
        </w:rPr>
        <w:t>.</w:t>
      </w:r>
      <w:r w:rsidR="00D90173" w:rsidRPr="00D90173">
        <w:rPr>
          <w:rFonts w:ascii="Arial" w:eastAsia="Calibri" w:hAnsi="Arial" w:cs="Arial"/>
          <w:b/>
          <w:sz w:val="24"/>
          <w:szCs w:val="24"/>
        </w:rPr>
        <w:t xml:space="preserve"> </w:t>
      </w:r>
      <w:r w:rsidR="00D90173" w:rsidRPr="00D90173">
        <w:rPr>
          <w:rFonts w:ascii="Arial" w:eastAsia="Calibri" w:hAnsi="Arial" w:cs="Arial"/>
          <w:bCs/>
          <w:sz w:val="24"/>
          <w:szCs w:val="24"/>
        </w:rPr>
        <w:t>Mayor impulso a la acción exterior de la UE, con más recursos para el desarrollo, la cooperación, la ampliación y el apoyo a la sociedad civil, promoviendo una participación más inclusiva, una mayor coherencia de las políticas y una gestión transparente y sostenible de los fondos.</w:t>
      </w:r>
    </w:p>
    <w:p w14:paraId="5DF30D71" w14:textId="77777777" w:rsidR="0068167E" w:rsidRPr="00FC0476" w:rsidRDefault="0068167E" w:rsidP="00433A3F">
      <w:pPr>
        <w:jc w:val="both"/>
        <w:rPr>
          <w:rFonts w:ascii="Arial" w:eastAsia="Calibri" w:hAnsi="Arial" w:cs="Arial"/>
          <w:bCs/>
          <w:sz w:val="24"/>
          <w:szCs w:val="24"/>
        </w:rPr>
      </w:pPr>
    </w:p>
    <w:p w14:paraId="00BA5CFA" w14:textId="77777777" w:rsidR="00DA0F73" w:rsidRPr="00597D88" w:rsidRDefault="00DA0F73" w:rsidP="00433A3F">
      <w:pPr>
        <w:numPr>
          <w:ilvl w:val="0"/>
          <w:numId w:val="11"/>
        </w:numPr>
        <w:shd w:val="clear" w:color="auto" w:fill="A5C9EB"/>
        <w:spacing w:after="160" w:line="259" w:lineRule="auto"/>
        <w:jc w:val="both"/>
        <w:rPr>
          <w:rFonts w:ascii="Arial" w:hAnsi="Arial" w:cs="Arial"/>
          <w:b/>
          <w:color w:val="000000"/>
          <w:sz w:val="24"/>
          <w:szCs w:val="24"/>
          <w:lang w:val="es-ES_tradnl"/>
        </w:rPr>
      </w:pPr>
      <w:r w:rsidRPr="00597D88">
        <w:rPr>
          <w:rFonts w:ascii="Arial" w:hAnsi="Arial" w:cs="Arial"/>
          <w:b/>
          <w:color w:val="000000"/>
          <w:sz w:val="24"/>
          <w:szCs w:val="24"/>
          <w:lang w:val="es-ES_tradnl"/>
        </w:rPr>
        <w:t>CONCLUSIÓN</w:t>
      </w:r>
    </w:p>
    <w:p w14:paraId="088DA56F" w14:textId="77777777" w:rsidR="00114495" w:rsidRPr="0042160A" w:rsidRDefault="00114495" w:rsidP="00433A3F">
      <w:pPr>
        <w:jc w:val="both"/>
        <w:rPr>
          <w:rFonts w:ascii="Arial" w:eastAsia="Calibri" w:hAnsi="Arial" w:cs="Arial"/>
          <w:bCs/>
          <w:sz w:val="24"/>
          <w:szCs w:val="24"/>
        </w:rPr>
      </w:pPr>
      <w:r w:rsidRPr="0042160A">
        <w:rPr>
          <w:rFonts w:ascii="Arial" w:eastAsia="Calibri" w:hAnsi="Arial" w:cs="Arial"/>
          <w:bCs/>
          <w:sz w:val="24"/>
          <w:szCs w:val="24"/>
        </w:rPr>
        <w:t xml:space="preserve">Cerramos pues un semestre particularmente intenso y que en líneas generales ha servido para relanzar los aspectos sociales en la agenda política europea, ya sea en el ámbito de la discapacidad, de la economía social o de la filantropía, que estaban quedado en un segundo plano. Aunque en la mayoría de los casos nos hubiese gustado que los planteamientos de la Comisión hubiesen sido más ambiciosos y hubiesen también mostrado más concreción, los avances </w:t>
      </w:r>
      <w:r w:rsidRPr="0042160A">
        <w:rPr>
          <w:rFonts w:ascii="Arial" w:eastAsia="Calibri" w:hAnsi="Arial" w:cs="Arial"/>
          <w:bCs/>
          <w:sz w:val="24"/>
          <w:szCs w:val="24"/>
        </w:rPr>
        <w:lastRenderedPageBreak/>
        <w:t xml:space="preserve">producidos durante este semestre sirven para de alguna manera revertir la tendencia de desregulación del primer año de la segunda Comisión Von der Leyen. </w:t>
      </w:r>
    </w:p>
    <w:p w14:paraId="373943F6" w14:textId="77777777" w:rsidR="00503F74" w:rsidRPr="0042160A" w:rsidRDefault="00503F74" w:rsidP="00433A3F">
      <w:pPr>
        <w:jc w:val="both"/>
        <w:rPr>
          <w:rFonts w:ascii="Arial" w:hAnsi="Arial" w:cs="Arial"/>
          <w:sz w:val="24"/>
          <w:szCs w:val="24"/>
          <w:lang w:val="es-419"/>
        </w:rPr>
      </w:pPr>
    </w:p>
    <w:p w14:paraId="2AF1103B" w14:textId="77777777" w:rsidR="00436FB2" w:rsidRPr="0042160A" w:rsidRDefault="00436FB2" w:rsidP="00433A3F">
      <w:pPr>
        <w:spacing w:after="0"/>
        <w:jc w:val="both"/>
        <w:rPr>
          <w:rFonts w:ascii="Arial" w:hAnsi="Arial" w:cs="Arial"/>
          <w:sz w:val="24"/>
          <w:szCs w:val="24"/>
          <w:lang w:val="es-419"/>
        </w:rPr>
      </w:pPr>
    </w:p>
    <w:p w14:paraId="7D08756E" w14:textId="7FE1660A" w:rsidR="00CF1C3B" w:rsidRPr="0042160A" w:rsidRDefault="00CF1C3B" w:rsidP="00503F74">
      <w:pPr>
        <w:spacing w:after="0"/>
        <w:jc w:val="right"/>
        <w:rPr>
          <w:rFonts w:ascii="Arial" w:hAnsi="Arial" w:cs="Arial"/>
          <w:sz w:val="24"/>
          <w:szCs w:val="24"/>
        </w:rPr>
      </w:pPr>
      <w:r w:rsidRPr="0042160A">
        <w:rPr>
          <w:rFonts w:ascii="Arial" w:hAnsi="Arial" w:cs="Arial"/>
          <w:sz w:val="24"/>
          <w:szCs w:val="24"/>
        </w:rPr>
        <w:t>Madrid, a</w:t>
      </w:r>
      <w:r w:rsidR="006A5E3B" w:rsidRPr="0042160A">
        <w:rPr>
          <w:rFonts w:ascii="Arial" w:hAnsi="Arial" w:cs="Arial"/>
          <w:sz w:val="24"/>
          <w:szCs w:val="24"/>
        </w:rPr>
        <w:t xml:space="preserve"> </w:t>
      </w:r>
      <w:r w:rsidR="00F93534">
        <w:rPr>
          <w:rFonts w:ascii="Arial" w:hAnsi="Arial" w:cs="Arial"/>
          <w:sz w:val="24"/>
          <w:szCs w:val="24"/>
        </w:rPr>
        <w:t>30</w:t>
      </w:r>
      <w:r w:rsidR="00697E34">
        <w:rPr>
          <w:rFonts w:ascii="Arial" w:hAnsi="Arial" w:cs="Arial"/>
          <w:sz w:val="24"/>
          <w:szCs w:val="24"/>
        </w:rPr>
        <w:t xml:space="preserve"> </w:t>
      </w:r>
      <w:r w:rsidR="00A21D91" w:rsidRPr="0042160A">
        <w:rPr>
          <w:rFonts w:ascii="Arial" w:hAnsi="Arial" w:cs="Arial"/>
          <w:sz w:val="24"/>
          <w:szCs w:val="24"/>
        </w:rPr>
        <w:t>de junio de 202</w:t>
      </w:r>
      <w:r w:rsidR="004B2F68" w:rsidRPr="0042160A">
        <w:rPr>
          <w:rFonts w:ascii="Arial" w:hAnsi="Arial" w:cs="Arial"/>
          <w:sz w:val="24"/>
          <w:szCs w:val="24"/>
        </w:rPr>
        <w:t>6</w:t>
      </w:r>
      <w:r w:rsidR="007A4FE9" w:rsidRPr="0042160A">
        <w:rPr>
          <w:rFonts w:ascii="Arial" w:hAnsi="Arial" w:cs="Arial"/>
          <w:sz w:val="24"/>
          <w:szCs w:val="24"/>
        </w:rPr>
        <w:t>.</w:t>
      </w:r>
    </w:p>
    <w:p w14:paraId="488E0089" w14:textId="77777777" w:rsidR="00674FAC" w:rsidRPr="0042160A" w:rsidRDefault="00CF1C3B" w:rsidP="00503F74">
      <w:pPr>
        <w:spacing w:after="0"/>
        <w:jc w:val="right"/>
        <w:rPr>
          <w:rFonts w:ascii="Arial" w:hAnsi="Arial" w:cs="Arial"/>
          <w:sz w:val="24"/>
          <w:szCs w:val="24"/>
        </w:rPr>
      </w:pPr>
      <w:r w:rsidRPr="0042160A">
        <w:rPr>
          <w:rFonts w:ascii="Arial" w:hAnsi="Arial" w:cs="Arial"/>
          <w:sz w:val="24"/>
          <w:szCs w:val="24"/>
        </w:rPr>
        <w:t xml:space="preserve">Dirección </w:t>
      </w:r>
      <w:r w:rsidR="00292C32" w:rsidRPr="0042160A">
        <w:rPr>
          <w:rFonts w:ascii="Arial" w:hAnsi="Arial" w:cs="Arial"/>
          <w:sz w:val="24"/>
          <w:szCs w:val="24"/>
        </w:rPr>
        <w:t>de Alianzas</w:t>
      </w:r>
      <w:r w:rsidR="00180B15" w:rsidRPr="0042160A">
        <w:rPr>
          <w:rFonts w:ascii="Arial" w:hAnsi="Arial" w:cs="Arial"/>
          <w:sz w:val="24"/>
          <w:szCs w:val="24"/>
        </w:rPr>
        <w:t xml:space="preserve"> y Relaciones</w:t>
      </w:r>
      <w:r w:rsidR="00292C32" w:rsidRPr="0042160A">
        <w:rPr>
          <w:rFonts w:ascii="Arial" w:hAnsi="Arial" w:cs="Arial"/>
          <w:sz w:val="24"/>
          <w:szCs w:val="24"/>
        </w:rPr>
        <w:t xml:space="preserve"> Internacionales</w:t>
      </w:r>
    </w:p>
    <w:p w14:paraId="0AB7601D" w14:textId="77777777" w:rsidR="003D65E2" w:rsidRPr="0042160A" w:rsidRDefault="003D65E2" w:rsidP="00503F74">
      <w:pPr>
        <w:spacing w:after="0"/>
        <w:jc w:val="right"/>
        <w:rPr>
          <w:rFonts w:ascii="Arial" w:hAnsi="Arial" w:cs="Arial"/>
          <w:sz w:val="24"/>
          <w:szCs w:val="24"/>
        </w:rPr>
      </w:pPr>
      <w:r w:rsidRPr="0042160A">
        <w:rPr>
          <w:rFonts w:ascii="Arial" w:hAnsi="Arial" w:cs="Arial"/>
          <w:sz w:val="24"/>
          <w:szCs w:val="24"/>
        </w:rPr>
        <w:t>Fundación ONCE</w:t>
      </w:r>
    </w:p>
    <w:p w14:paraId="37EEF1EE" w14:textId="77777777" w:rsidR="00BF0C11" w:rsidRPr="0042160A" w:rsidRDefault="00BF0C11" w:rsidP="00433A3F">
      <w:pPr>
        <w:spacing w:after="0"/>
        <w:jc w:val="both"/>
        <w:rPr>
          <w:rFonts w:ascii="Arial" w:hAnsi="Arial" w:cs="Arial"/>
          <w:sz w:val="24"/>
          <w:szCs w:val="24"/>
        </w:rPr>
      </w:pPr>
    </w:p>
    <w:p w14:paraId="64C4168B" w14:textId="77777777" w:rsidR="00BF0C11" w:rsidRPr="0042160A" w:rsidRDefault="00BF0C11" w:rsidP="00433A3F">
      <w:pPr>
        <w:spacing w:after="0"/>
        <w:jc w:val="both"/>
        <w:rPr>
          <w:rFonts w:ascii="Arial" w:hAnsi="Arial" w:cs="Arial"/>
          <w:sz w:val="24"/>
          <w:szCs w:val="24"/>
        </w:rPr>
      </w:pPr>
    </w:p>
    <w:p w14:paraId="51A1BF97" w14:textId="77777777" w:rsidR="00A14085" w:rsidRPr="0042160A" w:rsidRDefault="00A14085" w:rsidP="00433A3F">
      <w:pPr>
        <w:spacing w:after="0"/>
        <w:jc w:val="both"/>
        <w:rPr>
          <w:rFonts w:ascii="Arial" w:hAnsi="Arial" w:cs="Arial"/>
          <w:sz w:val="24"/>
          <w:szCs w:val="24"/>
        </w:rPr>
      </w:pPr>
    </w:p>
    <w:sectPr w:rsidR="00A14085" w:rsidRPr="0042160A" w:rsidSect="00B102E0">
      <w:headerReference w:type="even" r:id="rId12"/>
      <w:headerReference w:type="default" r:id="rId13"/>
      <w:footerReference w:type="even" r:id="rId14"/>
      <w:footerReference w:type="default" r:id="rId15"/>
      <w:headerReference w:type="first" r:id="rId16"/>
      <w:footerReference w:type="first" r:id="rId17"/>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D3E7" w14:textId="77777777" w:rsidR="00001F8C" w:rsidRDefault="00001F8C" w:rsidP="00292962">
      <w:pPr>
        <w:spacing w:after="0" w:line="240" w:lineRule="auto"/>
      </w:pPr>
      <w:r>
        <w:separator/>
      </w:r>
    </w:p>
  </w:endnote>
  <w:endnote w:type="continuationSeparator" w:id="0">
    <w:p w14:paraId="485DBDCE" w14:textId="77777777" w:rsidR="00001F8C" w:rsidRDefault="00001F8C" w:rsidP="0029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CD6" w14:textId="1B7763A5" w:rsidR="005B63E1" w:rsidRDefault="00EC6BC5">
    <w:pPr>
      <w:pStyle w:val="Piedepgina"/>
    </w:pPr>
    <w:r>
      <w:rPr>
        <w:noProof/>
      </w:rPr>
      <mc:AlternateContent>
        <mc:Choice Requires="wps">
          <w:drawing>
            <wp:anchor distT="0" distB="0" distL="0" distR="0" simplePos="0" relativeHeight="251658241" behindDoc="0" locked="0" layoutInCell="1" allowOverlap="1" wp14:anchorId="4E367F64" wp14:editId="5F94F49E">
              <wp:simplePos x="635" y="635"/>
              <wp:positionH relativeFrom="page">
                <wp:align>left</wp:align>
              </wp:positionH>
              <wp:positionV relativeFrom="page">
                <wp:align>bottom</wp:align>
              </wp:positionV>
              <wp:extent cx="1427480" cy="368935"/>
              <wp:effectExtent l="0" t="0" r="1270" b="0"/>
              <wp:wrapNone/>
              <wp:docPr id="1090137284"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68935"/>
                      </a:xfrm>
                      <a:prstGeom prst="rect">
                        <a:avLst/>
                      </a:prstGeom>
                      <a:noFill/>
                      <a:ln>
                        <a:noFill/>
                      </a:ln>
                    </wps:spPr>
                    <wps:txbx>
                      <w:txbxContent>
                        <w:p w14:paraId="473292B0" w14:textId="7A3233E3"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67F64" id="_x0000_t202" coordsize="21600,21600" o:spt="202" path="m,l,21600r21600,l21600,xe">
              <v:stroke joinstyle="miter"/>
              <v:path gradientshapeok="t" o:connecttype="rect"/>
            </v:shapetype>
            <v:shape id="Cuadro de texto 2" o:spid="_x0000_s1026" type="#_x0000_t202" alt="Clasificación: Interna" style="position:absolute;margin-left:0;margin-top:0;width:112.4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" filled="f" stroked="f">
              <v:fill o:detectmouseclick="t"/>
              <v:textbox style="mso-fit-shape-to-text:t" inset="20pt,0,0,15pt">
                <w:txbxContent>
                  <w:p w14:paraId="473292B0" w14:textId="7A3233E3"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7D47" w14:textId="7467D184" w:rsidR="009A49E4" w:rsidRDefault="00EC6BC5">
    <w:pPr>
      <w:pStyle w:val="Piedepgina"/>
      <w:jc w:val="right"/>
    </w:pPr>
    <w:r>
      <w:rPr>
        <w:noProof/>
      </w:rPr>
      <mc:AlternateContent>
        <mc:Choice Requires="wps">
          <w:drawing>
            <wp:anchor distT="0" distB="0" distL="0" distR="0" simplePos="0" relativeHeight="251658242" behindDoc="0" locked="0" layoutInCell="1" allowOverlap="1" wp14:anchorId="4DDDA439" wp14:editId="6FCEC954">
              <wp:simplePos x="635" y="635"/>
              <wp:positionH relativeFrom="page">
                <wp:align>left</wp:align>
              </wp:positionH>
              <wp:positionV relativeFrom="page">
                <wp:align>bottom</wp:align>
              </wp:positionV>
              <wp:extent cx="1427480" cy="368935"/>
              <wp:effectExtent l="0" t="0" r="1270" b="0"/>
              <wp:wrapNone/>
              <wp:docPr id="1868846317"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68935"/>
                      </a:xfrm>
                      <a:prstGeom prst="rect">
                        <a:avLst/>
                      </a:prstGeom>
                      <a:noFill/>
                      <a:ln>
                        <a:noFill/>
                      </a:ln>
                    </wps:spPr>
                    <wps:txbx>
                      <w:txbxContent>
                        <w:p w14:paraId="45E8A172" w14:textId="08867B2B"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DDA439" id="_x0000_t202" coordsize="21600,21600" o:spt="202" path="m,l,21600r21600,l21600,xe">
              <v:stroke joinstyle="miter"/>
              <v:path gradientshapeok="t" o:connecttype="rect"/>
            </v:shapetype>
            <v:shape id="Cuadro de texto 3" o:spid="_x0000_s1027" type="#_x0000_t202" alt="Clasificación: Interna" style="position:absolute;left:0;text-align:left;margin-left:0;margin-top:0;width:112.4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" filled="f" stroked="f">
              <v:fill o:detectmouseclick="t"/>
              <v:textbox style="mso-fit-shape-to-text:t" inset="20pt,0,0,15pt">
                <w:txbxContent>
                  <w:p w14:paraId="45E8A172" w14:textId="08867B2B"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v:textbox>
              <w10:wrap anchorx="page" anchory="page"/>
            </v:shape>
          </w:pict>
        </mc:Fallback>
      </mc:AlternateContent>
    </w:r>
    <w:r w:rsidR="009A49E4">
      <w:fldChar w:fldCharType="begin"/>
    </w:r>
    <w:r w:rsidR="009A49E4">
      <w:instrText xml:space="preserve"> PAGE   \* MERGEFORMAT </w:instrText>
    </w:r>
    <w:r w:rsidR="009A49E4">
      <w:fldChar w:fldCharType="separate"/>
    </w:r>
    <w:r w:rsidR="00EA245D">
      <w:rPr>
        <w:noProof/>
      </w:rPr>
      <w:t>1</w:t>
    </w:r>
    <w:r w:rsidR="009A49E4">
      <w:fldChar w:fldCharType="end"/>
    </w:r>
  </w:p>
  <w:p w14:paraId="62AEB76D" w14:textId="77777777" w:rsidR="009A49E4" w:rsidRDefault="009A49E4">
    <w:pPr>
      <w:pStyle w:val="Piedepgina"/>
    </w:pPr>
  </w:p>
  <w:p w14:paraId="63BFB800" w14:textId="77777777" w:rsidR="00AB520E" w:rsidRDefault="00AB52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F82C" w14:textId="04F53E8D" w:rsidR="005B63E1" w:rsidRDefault="00EC6BC5">
    <w:pPr>
      <w:pStyle w:val="Piedepgina"/>
    </w:pPr>
    <w:r>
      <w:rPr>
        <w:noProof/>
      </w:rPr>
      <mc:AlternateContent>
        <mc:Choice Requires="wps">
          <w:drawing>
            <wp:anchor distT="0" distB="0" distL="0" distR="0" simplePos="0" relativeHeight="251658240" behindDoc="0" locked="0" layoutInCell="1" allowOverlap="1" wp14:anchorId="4F6D523B" wp14:editId="4421C780">
              <wp:simplePos x="635" y="635"/>
              <wp:positionH relativeFrom="page">
                <wp:align>left</wp:align>
              </wp:positionH>
              <wp:positionV relativeFrom="page">
                <wp:align>bottom</wp:align>
              </wp:positionV>
              <wp:extent cx="1427480" cy="368935"/>
              <wp:effectExtent l="0" t="0" r="1270" b="0"/>
              <wp:wrapNone/>
              <wp:docPr id="970299322"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68935"/>
                      </a:xfrm>
                      <a:prstGeom prst="rect">
                        <a:avLst/>
                      </a:prstGeom>
                      <a:noFill/>
                      <a:ln>
                        <a:noFill/>
                      </a:ln>
                    </wps:spPr>
                    <wps:txbx>
                      <w:txbxContent>
                        <w:p w14:paraId="03057230" w14:textId="02FA4F38"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D523B" id="_x0000_t202" coordsize="21600,21600" o:spt="202" path="m,l,21600r21600,l21600,xe">
              <v:stroke joinstyle="miter"/>
              <v:path gradientshapeok="t" o:connecttype="rect"/>
            </v:shapetype>
            <v:shape id="Cuadro de texto 1" o:spid="_x0000_s1028" type="#_x0000_t202" alt="Clasificación: Interna" style="position:absolute;margin-left:0;margin-top:0;width:112.4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" filled="f" stroked="f">
              <v:fill o:detectmouseclick="t"/>
              <v:textbox style="mso-fit-shape-to-text:t" inset="20pt,0,0,15pt">
                <w:txbxContent>
                  <w:p w14:paraId="03057230" w14:textId="02FA4F38" w:rsidR="00EC6BC5" w:rsidRPr="00EC6BC5" w:rsidRDefault="00EC6BC5" w:rsidP="00EC6BC5">
                    <w:pPr>
                      <w:spacing w:after="0"/>
                      <w:rPr>
                        <w:rFonts w:ascii="Aptos" w:eastAsia="Aptos" w:hAnsi="Aptos" w:cs="Aptos"/>
                        <w:noProof/>
                        <w:color w:val="000000"/>
                        <w:sz w:val="20"/>
                        <w:szCs w:val="20"/>
                      </w:rPr>
                    </w:pPr>
                    <w:r w:rsidRPr="00EC6BC5">
                      <w:rPr>
                        <w:rFonts w:ascii="Aptos" w:eastAsia="Aptos" w:hAnsi="Aptos" w:cs="Aptos"/>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F847" w14:textId="77777777" w:rsidR="00001F8C" w:rsidRDefault="00001F8C" w:rsidP="00292962">
      <w:pPr>
        <w:spacing w:after="0" w:line="240" w:lineRule="auto"/>
      </w:pPr>
      <w:r>
        <w:separator/>
      </w:r>
    </w:p>
  </w:footnote>
  <w:footnote w:type="continuationSeparator" w:id="0">
    <w:p w14:paraId="7E61A16A" w14:textId="77777777" w:rsidR="00001F8C" w:rsidRDefault="00001F8C" w:rsidP="0029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8031" w14:textId="77777777" w:rsidR="005B63E1" w:rsidRDefault="005B63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A9B" w14:textId="77777777" w:rsidR="003B7A58" w:rsidRDefault="003B7A5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551" w14:textId="77777777" w:rsidR="005B63E1" w:rsidRDefault="005B63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665"/>
    <w:multiLevelType w:val="multilevel"/>
    <w:tmpl w:val="975E8226"/>
    <w:lvl w:ilvl="0">
      <w:start w:val="1"/>
      <w:numFmt w:val="decimal"/>
      <w:lvlText w:val="%1."/>
      <w:lvlJc w:val="left"/>
      <w:pPr>
        <w:ind w:left="720" w:hanging="360"/>
      </w:p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349"/>
    <w:multiLevelType w:val="multilevel"/>
    <w:tmpl w:val="CA9436E2"/>
    <w:lvl w:ilvl="0">
      <w:start w:val="1"/>
      <w:numFmt w:val="decimal"/>
      <w:lvlText w:val="%1."/>
      <w:lvlJc w:val="left"/>
      <w:pPr>
        <w:ind w:left="720" w:hanging="360"/>
      </w:p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530" w:hanging="108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950" w:hanging="144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400" w:hanging="1800"/>
      </w:pPr>
      <w:rPr>
        <w:rFonts w:hint="default"/>
        <w:b/>
      </w:rPr>
    </w:lvl>
  </w:abstractNum>
  <w:abstractNum w:abstractNumId="2" w15:restartNumberingAfterBreak="0">
    <w:nsid w:val="07713D3D"/>
    <w:multiLevelType w:val="multilevel"/>
    <w:tmpl w:val="1136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27903"/>
    <w:multiLevelType w:val="multilevel"/>
    <w:tmpl w:val="F930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A2CA6"/>
    <w:multiLevelType w:val="hybridMultilevel"/>
    <w:tmpl w:val="3490C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A50B22"/>
    <w:multiLevelType w:val="multilevel"/>
    <w:tmpl w:val="8AD6D4B0"/>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01B2A"/>
    <w:multiLevelType w:val="hybridMultilevel"/>
    <w:tmpl w:val="B3F8C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E5567E"/>
    <w:multiLevelType w:val="multilevel"/>
    <w:tmpl w:val="0038E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FC0FEF"/>
    <w:multiLevelType w:val="multilevel"/>
    <w:tmpl w:val="E5F0C8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9489B"/>
    <w:multiLevelType w:val="multilevel"/>
    <w:tmpl w:val="25080496"/>
    <w:lvl w:ilvl="0">
      <w:start w:val="1"/>
      <w:numFmt w:val="decimal"/>
      <w:lvlText w:val="%1."/>
      <w:lvlJc w:val="left"/>
      <w:pPr>
        <w:ind w:left="390" w:hanging="390"/>
      </w:pPr>
      <w:rPr>
        <w:rFonts w:hint="default"/>
      </w:rPr>
    </w:lvl>
    <w:lvl w:ilvl="1">
      <w:start w:val="2"/>
      <w:numFmt w:val="decimal"/>
      <w:lvlText w:val="%1.%2."/>
      <w:lvlJc w:val="left"/>
      <w:pPr>
        <w:ind w:left="720" w:hanging="720"/>
      </w:pPr>
      <w:rPr>
        <w:rFonts w:ascii="Arial" w:hAnsi="Arial" w:cs="Arial" w:hint="default"/>
        <w:b/>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477253"/>
    <w:multiLevelType w:val="multilevel"/>
    <w:tmpl w:val="CE285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CA1654"/>
    <w:multiLevelType w:val="hybridMultilevel"/>
    <w:tmpl w:val="AD981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15198B"/>
    <w:multiLevelType w:val="multilevel"/>
    <w:tmpl w:val="F930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545B60"/>
    <w:multiLevelType w:val="multilevel"/>
    <w:tmpl w:val="2FA40F1C"/>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10593"/>
    <w:multiLevelType w:val="multilevel"/>
    <w:tmpl w:val="F930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90F32"/>
    <w:multiLevelType w:val="multilevel"/>
    <w:tmpl w:val="0D5A9E40"/>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347E25"/>
    <w:multiLevelType w:val="hybridMultilevel"/>
    <w:tmpl w:val="2EEED9C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A233C0F"/>
    <w:multiLevelType w:val="multilevel"/>
    <w:tmpl w:val="01BE1FE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6703E"/>
    <w:multiLevelType w:val="multilevel"/>
    <w:tmpl w:val="914ED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BA5619"/>
    <w:multiLevelType w:val="multilevel"/>
    <w:tmpl w:val="88489542"/>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FB28CB"/>
    <w:multiLevelType w:val="multilevel"/>
    <w:tmpl w:val="7480D7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30B7A"/>
    <w:multiLevelType w:val="multilevel"/>
    <w:tmpl w:val="9CAAC650"/>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D3326B"/>
    <w:multiLevelType w:val="multilevel"/>
    <w:tmpl w:val="2FA40F1C"/>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9831EC"/>
    <w:multiLevelType w:val="multilevel"/>
    <w:tmpl w:val="01BE1FE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637A63"/>
    <w:multiLevelType w:val="multilevel"/>
    <w:tmpl w:val="8AD6D4B0"/>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0F20A6"/>
    <w:multiLevelType w:val="hybridMultilevel"/>
    <w:tmpl w:val="925C45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842884"/>
    <w:multiLevelType w:val="hybridMultilevel"/>
    <w:tmpl w:val="246EDC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292E9F"/>
    <w:multiLevelType w:val="hybridMultilevel"/>
    <w:tmpl w:val="684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F79A2"/>
    <w:multiLevelType w:val="hybridMultilevel"/>
    <w:tmpl w:val="B89828A8"/>
    <w:lvl w:ilvl="0" w:tplc="0C0A000F">
      <w:start w:val="5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C76ED1"/>
    <w:multiLevelType w:val="multilevel"/>
    <w:tmpl w:val="370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11E1F"/>
    <w:multiLevelType w:val="multilevel"/>
    <w:tmpl w:val="FDFE9F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E516B3"/>
    <w:multiLevelType w:val="multilevel"/>
    <w:tmpl w:val="CE285E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4CC6"/>
    <w:multiLevelType w:val="hybridMultilevel"/>
    <w:tmpl w:val="FF28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0EF5"/>
    <w:multiLevelType w:val="multilevel"/>
    <w:tmpl w:val="01BE1FE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8723D9A"/>
    <w:multiLevelType w:val="multilevel"/>
    <w:tmpl w:val="17904D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BC10994"/>
    <w:multiLevelType w:val="hybridMultilevel"/>
    <w:tmpl w:val="5DBC8B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C55545F"/>
    <w:multiLevelType w:val="multilevel"/>
    <w:tmpl w:val="2FA40F1C"/>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D93DD5"/>
    <w:multiLevelType w:val="multilevel"/>
    <w:tmpl w:val="CE285E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E20EFC"/>
    <w:multiLevelType w:val="multilevel"/>
    <w:tmpl w:val="1B40C4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7F24BE3"/>
    <w:multiLevelType w:val="multilevel"/>
    <w:tmpl w:val="0C98A45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B291D28"/>
    <w:multiLevelType w:val="multilevel"/>
    <w:tmpl w:val="9BE0666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31299636">
    <w:abstractNumId w:val="21"/>
  </w:num>
  <w:num w:numId="2" w16cid:durableId="1989166184">
    <w:abstractNumId w:val="9"/>
  </w:num>
  <w:num w:numId="3" w16cid:durableId="264771387">
    <w:abstractNumId w:val="33"/>
  </w:num>
  <w:num w:numId="4" w16cid:durableId="1815367137">
    <w:abstractNumId w:val="28"/>
  </w:num>
  <w:num w:numId="5" w16cid:durableId="30694452">
    <w:abstractNumId w:val="0"/>
  </w:num>
  <w:num w:numId="6" w16cid:durableId="59180043">
    <w:abstractNumId w:val="18"/>
  </w:num>
  <w:num w:numId="7" w16cid:durableId="977296760">
    <w:abstractNumId w:val="20"/>
  </w:num>
  <w:num w:numId="8" w16cid:durableId="473759811">
    <w:abstractNumId w:val="19"/>
  </w:num>
  <w:num w:numId="9" w16cid:durableId="1207370605">
    <w:abstractNumId w:val="38"/>
  </w:num>
  <w:num w:numId="10" w16cid:durableId="321084738">
    <w:abstractNumId w:val="30"/>
  </w:num>
  <w:num w:numId="11" w16cid:durableId="60763393">
    <w:abstractNumId w:val="1"/>
  </w:num>
  <w:num w:numId="12" w16cid:durableId="1208952052">
    <w:abstractNumId w:val="27"/>
  </w:num>
  <w:num w:numId="13" w16cid:durableId="1507746062">
    <w:abstractNumId w:val="32"/>
  </w:num>
  <w:num w:numId="14" w16cid:durableId="617873892">
    <w:abstractNumId w:val="16"/>
  </w:num>
  <w:num w:numId="15" w16cid:durableId="758798565">
    <w:abstractNumId w:val="11"/>
  </w:num>
  <w:num w:numId="16" w16cid:durableId="336732977">
    <w:abstractNumId w:val="35"/>
  </w:num>
  <w:num w:numId="17" w16cid:durableId="1496414382">
    <w:abstractNumId w:val="6"/>
  </w:num>
  <w:num w:numId="18" w16cid:durableId="2033873202">
    <w:abstractNumId w:val="4"/>
  </w:num>
  <w:num w:numId="19" w16cid:durableId="1535189273">
    <w:abstractNumId w:val="34"/>
  </w:num>
  <w:num w:numId="20" w16cid:durableId="2135631435">
    <w:abstractNumId w:val="7"/>
  </w:num>
  <w:num w:numId="21" w16cid:durableId="1186602319">
    <w:abstractNumId w:val="40"/>
  </w:num>
  <w:num w:numId="22" w16cid:durableId="413431467">
    <w:abstractNumId w:val="26"/>
  </w:num>
  <w:num w:numId="23" w16cid:durableId="1114132253">
    <w:abstractNumId w:val="14"/>
  </w:num>
  <w:num w:numId="24" w16cid:durableId="1049037748">
    <w:abstractNumId w:val="12"/>
  </w:num>
  <w:num w:numId="25" w16cid:durableId="468128646">
    <w:abstractNumId w:val="3"/>
  </w:num>
  <w:num w:numId="26" w16cid:durableId="839587525">
    <w:abstractNumId w:val="37"/>
  </w:num>
  <w:num w:numId="27" w16cid:durableId="746268968">
    <w:abstractNumId w:val="29"/>
  </w:num>
  <w:num w:numId="28" w16cid:durableId="675545170">
    <w:abstractNumId w:val="31"/>
  </w:num>
  <w:num w:numId="29" w16cid:durableId="114954029">
    <w:abstractNumId w:val="10"/>
  </w:num>
  <w:num w:numId="30" w16cid:durableId="1465123549">
    <w:abstractNumId w:val="23"/>
  </w:num>
  <w:num w:numId="31" w16cid:durableId="13268948">
    <w:abstractNumId w:val="8"/>
  </w:num>
  <w:num w:numId="32" w16cid:durableId="1488477501">
    <w:abstractNumId w:val="36"/>
  </w:num>
  <w:num w:numId="33" w16cid:durableId="951323223">
    <w:abstractNumId w:val="22"/>
  </w:num>
  <w:num w:numId="34" w16cid:durableId="1595236424">
    <w:abstractNumId w:val="13"/>
  </w:num>
  <w:num w:numId="35" w16cid:durableId="1999112559">
    <w:abstractNumId w:val="5"/>
  </w:num>
  <w:num w:numId="36" w16cid:durableId="237985103">
    <w:abstractNumId w:val="24"/>
  </w:num>
  <w:num w:numId="37" w16cid:durableId="1909728231">
    <w:abstractNumId w:val="39"/>
  </w:num>
  <w:num w:numId="38" w16cid:durableId="2111242954">
    <w:abstractNumId w:val="17"/>
  </w:num>
  <w:num w:numId="39" w16cid:durableId="1039160793">
    <w:abstractNumId w:val="25"/>
  </w:num>
  <w:num w:numId="40" w16cid:durableId="558127037">
    <w:abstractNumId w:val="15"/>
  </w:num>
  <w:num w:numId="41" w16cid:durableId="66902165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99"/>
    <w:rsid w:val="0000132D"/>
    <w:rsid w:val="00001DEB"/>
    <w:rsid w:val="00001F8C"/>
    <w:rsid w:val="00002444"/>
    <w:rsid w:val="0000312A"/>
    <w:rsid w:val="00003DF5"/>
    <w:rsid w:val="00004346"/>
    <w:rsid w:val="00004427"/>
    <w:rsid w:val="000044BE"/>
    <w:rsid w:val="00004825"/>
    <w:rsid w:val="00004CD8"/>
    <w:rsid w:val="00004EA9"/>
    <w:rsid w:val="00005023"/>
    <w:rsid w:val="000051D7"/>
    <w:rsid w:val="000062D9"/>
    <w:rsid w:val="00006FB3"/>
    <w:rsid w:val="00006FB4"/>
    <w:rsid w:val="00007B33"/>
    <w:rsid w:val="0001008C"/>
    <w:rsid w:val="00010305"/>
    <w:rsid w:val="000104E0"/>
    <w:rsid w:val="0001075D"/>
    <w:rsid w:val="00010C4C"/>
    <w:rsid w:val="000114F8"/>
    <w:rsid w:val="0001280D"/>
    <w:rsid w:val="00012E06"/>
    <w:rsid w:val="00012EAF"/>
    <w:rsid w:val="00013388"/>
    <w:rsid w:val="00013DC6"/>
    <w:rsid w:val="00015397"/>
    <w:rsid w:val="00015A20"/>
    <w:rsid w:val="00015B4E"/>
    <w:rsid w:val="00015C60"/>
    <w:rsid w:val="00015EBF"/>
    <w:rsid w:val="00017CFA"/>
    <w:rsid w:val="00020036"/>
    <w:rsid w:val="00020467"/>
    <w:rsid w:val="000207A1"/>
    <w:rsid w:val="00021112"/>
    <w:rsid w:val="000215F9"/>
    <w:rsid w:val="00021B59"/>
    <w:rsid w:val="00021FF8"/>
    <w:rsid w:val="00024125"/>
    <w:rsid w:val="0002476F"/>
    <w:rsid w:val="000247BD"/>
    <w:rsid w:val="000249D3"/>
    <w:rsid w:val="0002610C"/>
    <w:rsid w:val="0002688F"/>
    <w:rsid w:val="000271C0"/>
    <w:rsid w:val="0002764E"/>
    <w:rsid w:val="00027AEB"/>
    <w:rsid w:val="00030C40"/>
    <w:rsid w:val="00030DCC"/>
    <w:rsid w:val="000310F5"/>
    <w:rsid w:val="00031B26"/>
    <w:rsid w:val="00031C43"/>
    <w:rsid w:val="0003299E"/>
    <w:rsid w:val="00035698"/>
    <w:rsid w:val="00035E48"/>
    <w:rsid w:val="00036414"/>
    <w:rsid w:val="000364FD"/>
    <w:rsid w:val="0003656B"/>
    <w:rsid w:val="00036A9B"/>
    <w:rsid w:val="00037809"/>
    <w:rsid w:val="0003796E"/>
    <w:rsid w:val="00040298"/>
    <w:rsid w:val="00041960"/>
    <w:rsid w:val="00041B99"/>
    <w:rsid w:val="00041F1B"/>
    <w:rsid w:val="00041F7C"/>
    <w:rsid w:val="00042044"/>
    <w:rsid w:val="000420A3"/>
    <w:rsid w:val="00042678"/>
    <w:rsid w:val="00043657"/>
    <w:rsid w:val="0004383A"/>
    <w:rsid w:val="0004548C"/>
    <w:rsid w:val="000456E4"/>
    <w:rsid w:val="000466E2"/>
    <w:rsid w:val="000466EA"/>
    <w:rsid w:val="00046A5D"/>
    <w:rsid w:val="00046B45"/>
    <w:rsid w:val="00046E6D"/>
    <w:rsid w:val="0004752E"/>
    <w:rsid w:val="00047D00"/>
    <w:rsid w:val="00051283"/>
    <w:rsid w:val="00051543"/>
    <w:rsid w:val="00051BED"/>
    <w:rsid w:val="00052551"/>
    <w:rsid w:val="00053BE6"/>
    <w:rsid w:val="00053CFA"/>
    <w:rsid w:val="00053DBB"/>
    <w:rsid w:val="000541F1"/>
    <w:rsid w:val="000544D0"/>
    <w:rsid w:val="00054CFB"/>
    <w:rsid w:val="0005540A"/>
    <w:rsid w:val="000558FE"/>
    <w:rsid w:val="00055C85"/>
    <w:rsid w:val="000560DA"/>
    <w:rsid w:val="000572DD"/>
    <w:rsid w:val="0006052D"/>
    <w:rsid w:val="00061025"/>
    <w:rsid w:val="00061CBF"/>
    <w:rsid w:val="000626CA"/>
    <w:rsid w:val="0006283A"/>
    <w:rsid w:val="00062D09"/>
    <w:rsid w:val="000630AC"/>
    <w:rsid w:val="0006420E"/>
    <w:rsid w:val="0006477C"/>
    <w:rsid w:val="0006522B"/>
    <w:rsid w:val="00066E2E"/>
    <w:rsid w:val="00067215"/>
    <w:rsid w:val="000676C6"/>
    <w:rsid w:val="00067C05"/>
    <w:rsid w:val="00067C0E"/>
    <w:rsid w:val="00067CF1"/>
    <w:rsid w:val="0007028E"/>
    <w:rsid w:val="000707F0"/>
    <w:rsid w:val="0007192C"/>
    <w:rsid w:val="00071A54"/>
    <w:rsid w:val="00071B34"/>
    <w:rsid w:val="000742A5"/>
    <w:rsid w:val="0007489E"/>
    <w:rsid w:val="00074B85"/>
    <w:rsid w:val="00074FFF"/>
    <w:rsid w:val="00075439"/>
    <w:rsid w:val="00075D4C"/>
    <w:rsid w:val="0007703C"/>
    <w:rsid w:val="00077583"/>
    <w:rsid w:val="000775B9"/>
    <w:rsid w:val="0007776B"/>
    <w:rsid w:val="00077900"/>
    <w:rsid w:val="00077982"/>
    <w:rsid w:val="000824AF"/>
    <w:rsid w:val="00082BAC"/>
    <w:rsid w:val="00083767"/>
    <w:rsid w:val="00083876"/>
    <w:rsid w:val="00084416"/>
    <w:rsid w:val="00084AFD"/>
    <w:rsid w:val="00084FAF"/>
    <w:rsid w:val="000853F5"/>
    <w:rsid w:val="00086C34"/>
    <w:rsid w:val="00087089"/>
    <w:rsid w:val="000870AC"/>
    <w:rsid w:val="000873B3"/>
    <w:rsid w:val="0009082D"/>
    <w:rsid w:val="0009126E"/>
    <w:rsid w:val="00091FD2"/>
    <w:rsid w:val="00093372"/>
    <w:rsid w:val="00094058"/>
    <w:rsid w:val="000940FF"/>
    <w:rsid w:val="00094474"/>
    <w:rsid w:val="00094D8D"/>
    <w:rsid w:val="000971B1"/>
    <w:rsid w:val="00097694"/>
    <w:rsid w:val="000A062D"/>
    <w:rsid w:val="000A06C3"/>
    <w:rsid w:val="000A0CB8"/>
    <w:rsid w:val="000A1279"/>
    <w:rsid w:val="000A155F"/>
    <w:rsid w:val="000A17C1"/>
    <w:rsid w:val="000A27E2"/>
    <w:rsid w:val="000A34AE"/>
    <w:rsid w:val="000A392D"/>
    <w:rsid w:val="000A3AD3"/>
    <w:rsid w:val="000A3BC6"/>
    <w:rsid w:val="000A4AF2"/>
    <w:rsid w:val="000A4EDB"/>
    <w:rsid w:val="000A5035"/>
    <w:rsid w:val="000A5497"/>
    <w:rsid w:val="000A6015"/>
    <w:rsid w:val="000A6684"/>
    <w:rsid w:val="000A6CF3"/>
    <w:rsid w:val="000A6D4D"/>
    <w:rsid w:val="000A6F92"/>
    <w:rsid w:val="000A7465"/>
    <w:rsid w:val="000A7F74"/>
    <w:rsid w:val="000B06F4"/>
    <w:rsid w:val="000B0EAE"/>
    <w:rsid w:val="000B1C4B"/>
    <w:rsid w:val="000B1FBD"/>
    <w:rsid w:val="000B1FCF"/>
    <w:rsid w:val="000B2AE7"/>
    <w:rsid w:val="000B2F4E"/>
    <w:rsid w:val="000B3820"/>
    <w:rsid w:val="000B38EE"/>
    <w:rsid w:val="000B395C"/>
    <w:rsid w:val="000B46B1"/>
    <w:rsid w:val="000B4E83"/>
    <w:rsid w:val="000B5810"/>
    <w:rsid w:val="000B591D"/>
    <w:rsid w:val="000B5E04"/>
    <w:rsid w:val="000B6EFF"/>
    <w:rsid w:val="000B7175"/>
    <w:rsid w:val="000B7446"/>
    <w:rsid w:val="000B77CC"/>
    <w:rsid w:val="000C0C4B"/>
    <w:rsid w:val="000C1332"/>
    <w:rsid w:val="000C165D"/>
    <w:rsid w:val="000C1D58"/>
    <w:rsid w:val="000C303C"/>
    <w:rsid w:val="000C4161"/>
    <w:rsid w:val="000C421A"/>
    <w:rsid w:val="000C4A30"/>
    <w:rsid w:val="000C4E11"/>
    <w:rsid w:val="000C5136"/>
    <w:rsid w:val="000C5301"/>
    <w:rsid w:val="000C5AB8"/>
    <w:rsid w:val="000C5E6C"/>
    <w:rsid w:val="000D05A1"/>
    <w:rsid w:val="000D13A2"/>
    <w:rsid w:val="000D1D29"/>
    <w:rsid w:val="000D1DF3"/>
    <w:rsid w:val="000D2021"/>
    <w:rsid w:val="000D2EEC"/>
    <w:rsid w:val="000D38B8"/>
    <w:rsid w:val="000D3E9A"/>
    <w:rsid w:val="000D49AA"/>
    <w:rsid w:val="000D514F"/>
    <w:rsid w:val="000D51E2"/>
    <w:rsid w:val="000D5AF1"/>
    <w:rsid w:val="000D5F8E"/>
    <w:rsid w:val="000D7850"/>
    <w:rsid w:val="000D7870"/>
    <w:rsid w:val="000D7D51"/>
    <w:rsid w:val="000D7E5F"/>
    <w:rsid w:val="000E0840"/>
    <w:rsid w:val="000E089D"/>
    <w:rsid w:val="000E20BE"/>
    <w:rsid w:val="000E21E5"/>
    <w:rsid w:val="000E2528"/>
    <w:rsid w:val="000E34D1"/>
    <w:rsid w:val="000E36BF"/>
    <w:rsid w:val="000E38CE"/>
    <w:rsid w:val="000E41AA"/>
    <w:rsid w:val="000E5C06"/>
    <w:rsid w:val="000E5D6C"/>
    <w:rsid w:val="000E5F91"/>
    <w:rsid w:val="000E7F2F"/>
    <w:rsid w:val="000F05F5"/>
    <w:rsid w:val="000F0904"/>
    <w:rsid w:val="000F0CB2"/>
    <w:rsid w:val="000F17A8"/>
    <w:rsid w:val="000F184D"/>
    <w:rsid w:val="000F246F"/>
    <w:rsid w:val="000F262E"/>
    <w:rsid w:val="000F2AA1"/>
    <w:rsid w:val="000F2D86"/>
    <w:rsid w:val="000F2F30"/>
    <w:rsid w:val="000F2FDB"/>
    <w:rsid w:val="000F30F8"/>
    <w:rsid w:val="000F582B"/>
    <w:rsid w:val="000F6742"/>
    <w:rsid w:val="000F75D7"/>
    <w:rsid w:val="000F7FB4"/>
    <w:rsid w:val="001000E4"/>
    <w:rsid w:val="00103016"/>
    <w:rsid w:val="00103959"/>
    <w:rsid w:val="001039F7"/>
    <w:rsid w:val="00103B46"/>
    <w:rsid w:val="001064F0"/>
    <w:rsid w:val="001067C0"/>
    <w:rsid w:val="0010738A"/>
    <w:rsid w:val="00110091"/>
    <w:rsid w:val="0011057B"/>
    <w:rsid w:val="0011152C"/>
    <w:rsid w:val="00111B5C"/>
    <w:rsid w:val="001129D7"/>
    <w:rsid w:val="00113317"/>
    <w:rsid w:val="0011336B"/>
    <w:rsid w:val="0011431C"/>
    <w:rsid w:val="00114495"/>
    <w:rsid w:val="001146D9"/>
    <w:rsid w:val="00114DDA"/>
    <w:rsid w:val="001154F2"/>
    <w:rsid w:val="00116D83"/>
    <w:rsid w:val="00116FB1"/>
    <w:rsid w:val="0011768A"/>
    <w:rsid w:val="001176A6"/>
    <w:rsid w:val="00117993"/>
    <w:rsid w:val="00117B85"/>
    <w:rsid w:val="001201B9"/>
    <w:rsid w:val="0012032F"/>
    <w:rsid w:val="00120589"/>
    <w:rsid w:val="001209EB"/>
    <w:rsid w:val="00120C0D"/>
    <w:rsid w:val="00120FB6"/>
    <w:rsid w:val="0012100D"/>
    <w:rsid w:val="001210DC"/>
    <w:rsid w:val="0012212F"/>
    <w:rsid w:val="00122479"/>
    <w:rsid w:val="00122F71"/>
    <w:rsid w:val="0012366A"/>
    <w:rsid w:val="0012376B"/>
    <w:rsid w:val="0012501D"/>
    <w:rsid w:val="001250D6"/>
    <w:rsid w:val="00125197"/>
    <w:rsid w:val="00125DDD"/>
    <w:rsid w:val="00125F1A"/>
    <w:rsid w:val="001274DB"/>
    <w:rsid w:val="001276D5"/>
    <w:rsid w:val="001301FD"/>
    <w:rsid w:val="001306F4"/>
    <w:rsid w:val="00131C90"/>
    <w:rsid w:val="00131D44"/>
    <w:rsid w:val="00132F94"/>
    <w:rsid w:val="00133187"/>
    <w:rsid w:val="00134134"/>
    <w:rsid w:val="00134261"/>
    <w:rsid w:val="001345B1"/>
    <w:rsid w:val="00134781"/>
    <w:rsid w:val="00134C21"/>
    <w:rsid w:val="00134F65"/>
    <w:rsid w:val="0013507F"/>
    <w:rsid w:val="00136475"/>
    <w:rsid w:val="0013669E"/>
    <w:rsid w:val="00136786"/>
    <w:rsid w:val="001401F1"/>
    <w:rsid w:val="00140204"/>
    <w:rsid w:val="00141B1A"/>
    <w:rsid w:val="001421F8"/>
    <w:rsid w:val="00142897"/>
    <w:rsid w:val="00142F97"/>
    <w:rsid w:val="00143580"/>
    <w:rsid w:val="00144912"/>
    <w:rsid w:val="00145690"/>
    <w:rsid w:val="00145916"/>
    <w:rsid w:val="00145C0C"/>
    <w:rsid w:val="0014622C"/>
    <w:rsid w:val="00146936"/>
    <w:rsid w:val="00146A45"/>
    <w:rsid w:val="00147B1C"/>
    <w:rsid w:val="001501CD"/>
    <w:rsid w:val="00150EBA"/>
    <w:rsid w:val="001512D6"/>
    <w:rsid w:val="00151BC3"/>
    <w:rsid w:val="00152BF3"/>
    <w:rsid w:val="00154016"/>
    <w:rsid w:val="001540C3"/>
    <w:rsid w:val="00154272"/>
    <w:rsid w:val="001557AC"/>
    <w:rsid w:val="00155E09"/>
    <w:rsid w:val="00156556"/>
    <w:rsid w:val="00157776"/>
    <w:rsid w:val="00157ECC"/>
    <w:rsid w:val="0016003D"/>
    <w:rsid w:val="00160A35"/>
    <w:rsid w:val="00160C41"/>
    <w:rsid w:val="001616A2"/>
    <w:rsid w:val="00161768"/>
    <w:rsid w:val="00163197"/>
    <w:rsid w:val="00163544"/>
    <w:rsid w:val="00163719"/>
    <w:rsid w:val="00163B89"/>
    <w:rsid w:val="0016424D"/>
    <w:rsid w:val="00164844"/>
    <w:rsid w:val="00164C49"/>
    <w:rsid w:val="00165FD4"/>
    <w:rsid w:val="00166474"/>
    <w:rsid w:val="00166782"/>
    <w:rsid w:val="0017067D"/>
    <w:rsid w:val="00170819"/>
    <w:rsid w:val="00170FC0"/>
    <w:rsid w:val="00171E05"/>
    <w:rsid w:val="001737F3"/>
    <w:rsid w:val="00174529"/>
    <w:rsid w:val="001750D3"/>
    <w:rsid w:val="0017513E"/>
    <w:rsid w:val="00175563"/>
    <w:rsid w:val="00175596"/>
    <w:rsid w:val="00175B09"/>
    <w:rsid w:val="00175D06"/>
    <w:rsid w:val="00175E41"/>
    <w:rsid w:val="00175EA4"/>
    <w:rsid w:val="00176288"/>
    <w:rsid w:val="00176CC2"/>
    <w:rsid w:val="00177225"/>
    <w:rsid w:val="00177252"/>
    <w:rsid w:val="001777C9"/>
    <w:rsid w:val="001778A6"/>
    <w:rsid w:val="00180375"/>
    <w:rsid w:val="00180A35"/>
    <w:rsid w:val="00180B15"/>
    <w:rsid w:val="00181C72"/>
    <w:rsid w:val="00182974"/>
    <w:rsid w:val="00182B22"/>
    <w:rsid w:val="00182E5A"/>
    <w:rsid w:val="00184607"/>
    <w:rsid w:val="00184E7E"/>
    <w:rsid w:val="001850F7"/>
    <w:rsid w:val="00186171"/>
    <w:rsid w:val="00186EB3"/>
    <w:rsid w:val="00187CEC"/>
    <w:rsid w:val="00187DA0"/>
    <w:rsid w:val="00187EC9"/>
    <w:rsid w:val="00190093"/>
    <w:rsid w:val="00190CA3"/>
    <w:rsid w:val="00191E64"/>
    <w:rsid w:val="001925C1"/>
    <w:rsid w:val="00192C5E"/>
    <w:rsid w:val="00193230"/>
    <w:rsid w:val="00193434"/>
    <w:rsid w:val="001936CB"/>
    <w:rsid w:val="00195400"/>
    <w:rsid w:val="001973A7"/>
    <w:rsid w:val="001A1269"/>
    <w:rsid w:val="001A198D"/>
    <w:rsid w:val="001A23B7"/>
    <w:rsid w:val="001A2AA3"/>
    <w:rsid w:val="001A3934"/>
    <w:rsid w:val="001A3D6A"/>
    <w:rsid w:val="001A5560"/>
    <w:rsid w:val="001A5860"/>
    <w:rsid w:val="001A700D"/>
    <w:rsid w:val="001A772A"/>
    <w:rsid w:val="001A7AF0"/>
    <w:rsid w:val="001A7B29"/>
    <w:rsid w:val="001A7CFE"/>
    <w:rsid w:val="001A7D39"/>
    <w:rsid w:val="001B0577"/>
    <w:rsid w:val="001B0774"/>
    <w:rsid w:val="001B07B3"/>
    <w:rsid w:val="001B12CA"/>
    <w:rsid w:val="001B215E"/>
    <w:rsid w:val="001B2537"/>
    <w:rsid w:val="001B2DB6"/>
    <w:rsid w:val="001B5153"/>
    <w:rsid w:val="001B5854"/>
    <w:rsid w:val="001B5A84"/>
    <w:rsid w:val="001B6AF8"/>
    <w:rsid w:val="001B74D7"/>
    <w:rsid w:val="001B7933"/>
    <w:rsid w:val="001B7E13"/>
    <w:rsid w:val="001C0D11"/>
    <w:rsid w:val="001C1CDF"/>
    <w:rsid w:val="001C25B4"/>
    <w:rsid w:val="001C2B9B"/>
    <w:rsid w:val="001C3B15"/>
    <w:rsid w:val="001C46D6"/>
    <w:rsid w:val="001C5B80"/>
    <w:rsid w:val="001C62A9"/>
    <w:rsid w:val="001C7C58"/>
    <w:rsid w:val="001C7CB7"/>
    <w:rsid w:val="001D0328"/>
    <w:rsid w:val="001D04C3"/>
    <w:rsid w:val="001D0710"/>
    <w:rsid w:val="001D0C7D"/>
    <w:rsid w:val="001D0E62"/>
    <w:rsid w:val="001D1596"/>
    <w:rsid w:val="001D185E"/>
    <w:rsid w:val="001D21F9"/>
    <w:rsid w:val="001D28E0"/>
    <w:rsid w:val="001D2B10"/>
    <w:rsid w:val="001D3621"/>
    <w:rsid w:val="001D4732"/>
    <w:rsid w:val="001D4D8D"/>
    <w:rsid w:val="001D5C94"/>
    <w:rsid w:val="001D63B9"/>
    <w:rsid w:val="001D69C4"/>
    <w:rsid w:val="001D6C1F"/>
    <w:rsid w:val="001D6D7D"/>
    <w:rsid w:val="001D6EC1"/>
    <w:rsid w:val="001D7FE6"/>
    <w:rsid w:val="001E028E"/>
    <w:rsid w:val="001E04CB"/>
    <w:rsid w:val="001E094F"/>
    <w:rsid w:val="001E199E"/>
    <w:rsid w:val="001E1C6B"/>
    <w:rsid w:val="001E26B7"/>
    <w:rsid w:val="001E310F"/>
    <w:rsid w:val="001E3345"/>
    <w:rsid w:val="001E3494"/>
    <w:rsid w:val="001E35B6"/>
    <w:rsid w:val="001E3BD4"/>
    <w:rsid w:val="001E4C88"/>
    <w:rsid w:val="001E52AC"/>
    <w:rsid w:val="001E5678"/>
    <w:rsid w:val="001E659F"/>
    <w:rsid w:val="001E6B0A"/>
    <w:rsid w:val="001E6F2C"/>
    <w:rsid w:val="001E70B5"/>
    <w:rsid w:val="001E73D1"/>
    <w:rsid w:val="001E7889"/>
    <w:rsid w:val="001F05C9"/>
    <w:rsid w:val="001F27AE"/>
    <w:rsid w:val="001F2AD5"/>
    <w:rsid w:val="001F3038"/>
    <w:rsid w:val="001F309B"/>
    <w:rsid w:val="001F3638"/>
    <w:rsid w:val="001F3932"/>
    <w:rsid w:val="001F3EBD"/>
    <w:rsid w:val="001F47F8"/>
    <w:rsid w:val="001F4819"/>
    <w:rsid w:val="001F4B92"/>
    <w:rsid w:val="001F4FE7"/>
    <w:rsid w:val="001F535A"/>
    <w:rsid w:val="001F5534"/>
    <w:rsid w:val="001F676B"/>
    <w:rsid w:val="0020024C"/>
    <w:rsid w:val="0020108E"/>
    <w:rsid w:val="00201812"/>
    <w:rsid w:val="0020182D"/>
    <w:rsid w:val="00201D20"/>
    <w:rsid w:val="0020220D"/>
    <w:rsid w:val="00202F8E"/>
    <w:rsid w:val="00204021"/>
    <w:rsid w:val="002042DC"/>
    <w:rsid w:val="002043E9"/>
    <w:rsid w:val="00204825"/>
    <w:rsid w:val="00204ADE"/>
    <w:rsid w:val="002050A3"/>
    <w:rsid w:val="00205C71"/>
    <w:rsid w:val="00207601"/>
    <w:rsid w:val="00207736"/>
    <w:rsid w:val="00207C0B"/>
    <w:rsid w:val="0021030E"/>
    <w:rsid w:val="002110C2"/>
    <w:rsid w:val="00211316"/>
    <w:rsid w:val="00211E06"/>
    <w:rsid w:val="00213D04"/>
    <w:rsid w:val="00213EB5"/>
    <w:rsid w:val="00215012"/>
    <w:rsid w:val="0021526F"/>
    <w:rsid w:val="00215659"/>
    <w:rsid w:val="00215F1A"/>
    <w:rsid w:val="002167BB"/>
    <w:rsid w:val="00217097"/>
    <w:rsid w:val="00217A31"/>
    <w:rsid w:val="002202A6"/>
    <w:rsid w:val="002204FF"/>
    <w:rsid w:val="00221902"/>
    <w:rsid w:val="002222B5"/>
    <w:rsid w:val="0022256F"/>
    <w:rsid w:val="00223205"/>
    <w:rsid w:val="002235B0"/>
    <w:rsid w:val="0022584D"/>
    <w:rsid w:val="00227137"/>
    <w:rsid w:val="00227149"/>
    <w:rsid w:val="00227840"/>
    <w:rsid w:val="00230434"/>
    <w:rsid w:val="00230865"/>
    <w:rsid w:val="00230F10"/>
    <w:rsid w:val="0023111C"/>
    <w:rsid w:val="002313B1"/>
    <w:rsid w:val="0023155A"/>
    <w:rsid w:val="0023189F"/>
    <w:rsid w:val="00232AF6"/>
    <w:rsid w:val="002345DC"/>
    <w:rsid w:val="00234820"/>
    <w:rsid w:val="00235D56"/>
    <w:rsid w:val="00235FAB"/>
    <w:rsid w:val="00236AB8"/>
    <w:rsid w:val="00240266"/>
    <w:rsid w:val="00241531"/>
    <w:rsid w:val="00241763"/>
    <w:rsid w:val="0024187F"/>
    <w:rsid w:val="00242522"/>
    <w:rsid w:val="00242CD2"/>
    <w:rsid w:val="0024386C"/>
    <w:rsid w:val="002438A3"/>
    <w:rsid w:val="00243FC4"/>
    <w:rsid w:val="0024454D"/>
    <w:rsid w:val="0024545C"/>
    <w:rsid w:val="00245879"/>
    <w:rsid w:val="00245AC6"/>
    <w:rsid w:val="00245D49"/>
    <w:rsid w:val="00245FC8"/>
    <w:rsid w:val="00246AB2"/>
    <w:rsid w:val="00247C70"/>
    <w:rsid w:val="002500A2"/>
    <w:rsid w:val="00250944"/>
    <w:rsid w:val="00250E8C"/>
    <w:rsid w:val="0025114B"/>
    <w:rsid w:val="00252A1C"/>
    <w:rsid w:val="00252B6C"/>
    <w:rsid w:val="0025309D"/>
    <w:rsid w:val="002536E6"/>
    <w:rsid w:val="00253D25"/>
    <w:rsid w:val="00255005"/>
    <w:rsid w:val="0025533A"/>
    <w:rsid w:val="00256709"/>
    <w:rsid w:val="002570FC"/>
    <w:rsid w:val="002572A0"/>
    <w:rsid w:val="00257A2E"/>
    <w:rsid w:val="00261337"/>
    <w:rsid w:val="0026153B"/>
    <w:rsid w:val="0026233A"/>
    <w:rsid w:val="00263ACA"/>
    <w:rsid w:val="00263BD2"/>
    <w:rsid w:val="00263CB5"/>
    <w:rsid w:val="0026407B"/>
    <w:rsid w:val="0026476F"/>
    <w:rsid w:val="002657F2"/>
    <w:rsid w:val="002658FE"/>
    <w:rsid w:val="00265BBF"/>
    <w:rsid w:val="00265C7C"/>
    <w:rsid w:val="0026611A"/>
    <w:rsid w:val="00270C65"/>
    <w:rsid w:val="002726AA"/>
    <w:rsid w:val="002729CD"/>
    <w:rsid w:val="00272A85"/>
    <w:rsid w:val="00272A90"/>
    <w:rsid w:val="00274EB6"/>
    <w:rsid w:val="00274FA7"/>
    <w:rsid w:val="0027519B"/>
    <w:rsid w:val="002754BC"/>
    <w:rsid w:val="0027619A"/>
    <w:rsid w:val="00276314"/>
    <w:rsid w:val="00277B59"/>
    <w:rsid w:val="002802FA"/>
    <w:rsid w:val="002806BA"/>
    <w:rsid w:val="0028163D"/>
    <w:rsid w:val="00281D8B"/>
    <w:rsid w:val="00281DB7"/>
    <w:rsid w:val="00283388"/>
    <w:rsid w:val="00283932"/>
    <w:rsid w:val="00283D8E"/>
    <w:rsid w:val="002842DB"/>
    <w:rsid w:val="0028467B"/>
    <w:rsid w:val="002860E4"/>
    <w:rsid w:val="002865A7"/>
    <w:rsid w:val="00286932"/>
    <w:rsid w:val="00286C1E"/>
    <w:rsid w:val="00287505"/>
    <w:rsid w:val="00290376"/>
    <w:rsid w:val="002903FB"/>
    <w:rsid w:val="002912ED"/>
    <w:rsid w:val="002916BD"/>
    <w:rsid w:val="0029258E"/>
    <w:rsid w:val="00292962"/>
    <w:rsid w:val="00292C32"/>
    <w:rsid w:val="00292D9F"/>
    <w:rsid w:val="002934B8"/>
    <w:rsid w:val="002951BA"/>
    <w:rsid w:val="00295BF2"/>
    <w:rsid w:val="00296329"/>
    <w:rsid w:val="0029702F"/>
    <w:rsid w:val="00297769"/>
    <w:rsid w:val="00297EC1"/>
    <w:rsid w:val="002A0B40"/>
    <w:rsid w:val="002A16A6"/>
    <w:rsid w:val="002A1AB5"/>
    <w:rsid w:val="002A3501"/>
    <w:rsid w:val="002A4307"/>
    <w:rsid w:val="002A4E49"/>
    <w:rsid w:val="002A538C"/>
    <w:rsid w:val="002A55BD"/>
    <w:rsid w:val="002A5614"/>
    <w:rsid w:val="002A582C"/>
    <w:rsid w:val="002A6542"/>
    <w:rsid w:val="002A749D"/>
    <w:rsid w:val="002A75CD"/>
    <w:rsid w:val="002B0AA3"/>
    <w:rsid w:val="002B0D09"/>
    <w:rsid w:val="002B132D"/>
    <w:rsid w:val="002B1A77"/>
    <w:rsid w:val="002B1FDA"/>
    <w:rsid w:val="002B2757"/>
    <w:rsid w:val="002B27B7"/>
    <w:rsid w:val="002B32C3"/>
    <w:rsid w:val="002B384C"/>
    <w:rsid w:val="002B3F95"/>
    <w:rsid w:val="002B453B"/>
    <w:rsid w:val="002B4911"/>
    <w:rsid w:val="002B4A9F"/>
    <w:rsid w:val="002B5084"/>
    <w:rsid w:val="002B5209"/>
    <w:rsid w:val="002B592B"/>
    <w:rsid w:val="002B5E15"/>
    <w:rsid w:val="002B6008"/>
    <w:rsid w:val="002B7622"/>
    <w:rsid w:val="002C07E9"/>
    <w:rsid w:val="002C15A7"/>
    <w:rsid w:val="002C1639"/>
    <w:rsid w:val="002C173D"/>
    <w:rsid w:val="002C3868"/>
    <w:rsid w:val="002C39AE"/>
    <w:rsid w:val="002C3BAB"/>
    <w:rsid w:val="002C4589"/>
    <w:rsid w:val="002C46B2"/>
    <w:rsid w:val="002C4763"/>
    <w:rsid w:val="002C4F0F"/>
    <w:rsid w:val="002C55C6"/>
    <w:rsid w:val="002C5A67"/>
    <w:rsid w:val="002C63EE"/>
    <w:rsid w:val="002C6921"/>
    <w:rsid w:val="002C6EE9"/>
    <w:rsid w:val="002C7DFE"/>
    <w:rsid w:val="002D08C8"/>
    <w:rsid w:val="002D2D7D"/>
    <w:rsid w:val="002D3287"/>
    <w:rsid w:val="002D3B9D"/>
    <w:rsid w:val="002D560C"/>
    <w:rsid w:val="002D6209"/>
    <w:rsid w:val="002D6381"/>
    <w:rsid w:val="002D6511"/>
    <w:rsid w:val="002D7330"/>
    <w:rsid w:val="002D73A3"/>
    <w:rsid w:val="002D7736"/>
    <w:rsid w:val="002D7DB3"/>
    <w:rsid w:val="002D7F02"/>
    <w:rsid w:val="002E08D5"/>
    <w:rsid w:val="002E0B1D"/>
    <w:rsid w:val="002E1A0A"/>
    <w:rsid w:val="002E2364"/>
    <w:rsid w:val="002E2A2B"/>
    <w:rsid w:val="002E4D46"/>
    <w:rsid w:val="002E580D"/>
    <w:rsid w:val="002E6380"/>
    <w:rsid w:val="002E7679"/>
    <w:rsid w:val="002F258C"/>
    <w:rsid w:val="002F2FEB"/>
    <w:rsid w:val="002F30D5"/>
    <w:rsid w:val="002F612E"/>
    <w:rsid w:val="002F7052"/>
    <w:rsid w:val="002F79D3"/>
    <w:rsid w:val="00300C3D"/>
    <w:rsid w:val="00300DE1"/>
    <w:rsid w:val="00303010"/>
    <w:rsid w:val="00303EEA"/>
    <w:rsid w:val="00304A3E"/>
    <w:rsid w:val="00305488"/>
    <w:rsid w:val="00305522"/>
    <w:rsid w:val="00305B21"/>
    <w:rsid w:val="00305E06"/>
    <w:rsid w:val="00305E5B"/>
    <w:rsid w:val="00306C05"/>
    <w:rsid w:val="003077AD"/>
    <w:rsid w:val="00307C59"/>
    <w:rsid w:val="00310186"/>
    <w:rsid w:val="0031124C"/>
    <w:rsid w:val="00311728"/>
    <w:rsid w:val="003117A6"/>
    <w:rsid w:val="0031183D"/>
    <w:rsid w:val="0031220D"/>
    <w:rsid w:val="00312BF3"/>
    <w:rsid w:val="00312C2E"/>
    <w:rsid w:val="00312DD0"/>
    <w:rsid w:val="00313696"/>
    <w:rsid w:val="0031425F"/>
    <w:rsid w:val="003145EA"/>
    <w:rsid w:val="00315061"/>
    <w:rsid w:val="003158E9"/>
    <w:rsid w:val="00316762"/>
    <w:rsid w:val="0031691D"/>
    <w:rsid w:val="00316C00"/>
    <w:rsid w:val="00317303"/>
    <w:rsid w:val="0031745D"/>
    <w:rsid w:val="00317B89"/>
    <w:rsid w:val="0032130B"/>
    <w:rsid w:val="00321617"/>
    <w:rsid w:val="00321F3A"/>
    <w:rsid w:val="0032201D"/>
    <w:rsid w:val="00322659"/>
    <w:rsid w:val="00322BBC"/>
    <w:rsid w:val="00322BD7"/>
    <w:rsid w:val="00323072"/>
    <w:rsid w:val="003233FB"/>
    <w:rsid w:val="00323B84"/>
    <w:rsid w:val="00324059"/>
    <w:rsid w:val="003244C9"/>
    <w:rsid w:val="00326636"/>
    <w:rsid w:val="00326C2C"/>
    <w:rsid w:val="003270F6"/>
    <w:rsid w:val="00327BC9"/>
    <w:rsid w:val="00327C07"/>
    <w:rsid w:val="0033140A"/>
    <w:rsid w:val="00331DBD"/>
    <w:rsid w:val="00331DD7"/>
    <w:rsid w:val="003320F2"/>
    <w:rsid w:val="003321FA"/>
    <w:rsid w:val="00333D25"/>
    <w:rsid w:val="0033407C"/>
    <w:rsid w:val="00334853"/>
    <w:rsid w:val="00334F69"/>
    <w:rsid w:val="00335136"/>
    <w:rsid w:val="00335202"/>
    <w:rsid w:val="0033670B"/>
    <w:rsid w:val="003368C2"/>
    <w:rsid w:val="00336FBB"/>
    <w:rsid w:val="0034170A"/>
    <w:rsid w:val="00341E99"/>
    <w:rsid w:val="003420DD"/>
    <w:rsid w:val="0034254D"/>
    <w:rsid w:val="00342E7B"/>
    <w:rsid w:val="00343ABE"/>
    <w:rsid w:val="00343E47"/>
    <w:rsid w:val="003442D2"/>
    <w:rsid w:val="00344375"/>
    <w:rsid w:val="003446D0"/>
    <w:rsid w:val="00344C09"/>
    <w:rsid w:val="0034502C"/>
    <w:rsid w:val="0034529D"/>
    <w:rsid w:val="003452D0"/>
    <w:rsid w:val="00346D37"/>
    <w:rsid w:val="00347436"/>
    <w:rsid w:val="00347C5C"/>
    <w:rsid w:val="00347D1E"/>
    <w:rsid w:val="00347D20"/>
    <w:rsid w:val="00347E08"/>
    <w:rsid w:val="0035078B"/>
    <w:rsid w:val="0035165F"/>
    <w:rsid w:val="00351848"/>
    <w:rsid w:val="003529BB"/>
    <w:rsid w:val="00352B15"/>
    <w:rsid w:val="00352DBF"/>
    <w:rsid w:val="00352E7E"/>
    <w:rsid w:val="00353EC3"/>
    <w:rsid w:val="00354151"/>
    <w:rsid w:val="003541FB"/>
    <w:rsid w:val="003543E3"/>
    <w:rsid w:val="0035506A"/>
    <w:rsid w:val="00355677"/>
    <w:rsid w:val="00355B05"/>
    <w:rsid w:val="00355FED"/>
    <w:rsid w:val="0035666E"/>
    <w:rsid w:val="00356681"/>
    <w:rsid w:val="00356B00"/>
    <w:rsid w:val="00356D32"/>
    <w:rsid w:val="00357255"/>
    <w:rsid w:val="00357F55"/>
    <w:rsid w:val="00357F65"/>
    <w:rsid w:val="00360049"/>
    <w:rsid w:val="00361260"/>
    <w:rsid w:val="00361A4D"/>
    <w:rsid w:val="0036251F"/>
    <w:rsid w:val="003626CF"/>
    <w:rsid w:val="00362733"/>
    <w:rsid w:val="00362D76"/>
    <w:rsid w:val="00363910"/>
    <w:rsid w:val="00363A38"/>
    <w:rsid w:val="00363B2C"/>
    <w:rsid w:val="00363BCF"/>
    <w:rsid w:val="00363BE6"/>
    <w:rsid w:val="00365D67"/>
    <w:rsid w:val="00365F9E"/>
    <w:rsid w:val="00366B06"/>
    <w:rsid w:val="00367047"/>
    <w:rsid w:val="00367821"/>
    <w:rsid w:val="003708EB"/>
    <w:rsid w:val="0037090F"/>
    <w:rsid w:val="00370A0C"/>
    <w:rsid w:val="003711FF"/>
    <w:rsid w:val="00371245"/>
    <w:rsid w:val="00372159"/>
    <w:rsid w:val="0037359B"/>
    <w:rsid w:val="00373928"/>
    <w:rsid w:val="00373BD0"/>
    <w:rsid w:val="0037520B"/>
    <w:rsid w:val="00376BDC"/>
    <w:rsid w:val="003774DE"/>
    <w:rsid w:val="00377AA0"/>
    <w:rsid w:val="00377AE2"/>
    <w:rsid w:val="0038167E"/>
    <w:rsid w:val="00381E5F"/>
    <w:rsid w:val="00382EAC"/>
    <w:rsid w:val="00383285"/>
    <w:rsid w:val="00383CB1"/>
    <w:rsid w:val="003842A9"/>
    <w:rsid w:val="00384434"/>
    <w:rsid w:val="00384B07"/>
    <w:rsid w:val="00385405"/>
    <w:rsid w:val="00385F42"/>
    <w:rsid w:val="0038609D"/>
    <w:rsid w:val="00386231"/>
    <w:rsid w:val="00386C94"/>
    <w:rsid w:val="00387239"/>
    <w:rsid w:val="003905E5"/>
    <w:rsid w:val="00392ABB"/>
    <w:rsid w:val="00392B25"/>
    <w:rsid w:val="00393079"/>
    <w:rsid w:val="00393ABB"/>
    <w:rsid w:val="00393F1B"/>
    <w:rsid w:val="003947DF"/>
    <w:rsid w:val="003948F9"/>
    <w:rsid w:val="0039567D"/>
    <w:rsid w:val="00395C72"/>
    <w:rsid w:val="00395FF7"/>
    <w:rsid w:val="00397283"/>
    <w:rsid w:val="003979D2"/>
    <w:rsid w:val="00397DC2"/>
    <w:rsid w:val="003A0982"/>
    <w:rsid w:val="003A0D9D"/>
    <w:rsid w:val="003A1895"/>
    <w:rsid w:val="003A1E4E"/>
    <w:rsid w:val="003A4871"/>
    <w:rsid w:val="003A4DA2"/>
    <w:rsid w:val="003A5B08"/>
    <w:rsid w:val="003A72D5"/>
    <w:rsid w:val="003A7F15"/>
    <w:rsid w:val="003A7FD3"/>
    <w:rsid w:val="003B039F"/>
    <w:rsid w:val="003B07CC"/>
    <w:rsid w:val="003B102B"/>
    <w:rsid w:val="003B10F8"/>
    <w:rsid w:val="003B13B6"/>
    <w:rsid w:val="003B13CA"/>
    <w:rsid w:val="003B1711"/>
    <w:rsid w:val="003B1FC5"/>
    <w:rsid w:val="003B24CE"/>
    <w:rsid w:val="003B25E7"/>
    <w:rsid w:val="003B2AD5"/>
    <w:rsid w:val="003B2E3E"/>
    <w:rsid w:val="003B35B1"/>
    <w:rsid w:val="003B3C74"/>
    <w:rsid w:val="003B3EE3"/>
    <w:rsid w:val="003B422D"/>
    <w:rsid w:val="003B4394"/>
    <w:rsid w:val="003B4550"/>
    <w:rsid w:val="003B46BF"/>
    <w:rsid w:val="003B4C6C"/>
    <w:rsid w:val="003B4F3F"/>
    <w:rsid w:val="003B5720"/>
    <w:rsid w:val="003B5EEA"/>
    <w:rsid w:val="003B632D"/>
    <w:rsid w:val="003B6B6B"/>
    <w:rsid w:val="003B6BE3"/>
    <w:rsid w:val="003B6F07"/>
    <w:rsid w:val="003B75F1"/>
    <w:rsid w:val="003B762E"/>
    <w:rsid w:val="003B7A58"/>
    <w:rsid w:val="003C0193"/>
    <w:rsid w:val="003C01C7"/>
    <w:rsid w:val="003C0648"/>
    <w:rsid w:val="003C06F0"/>
    <w:rsid w:val="003C0893"/>
    <w:rsid w:val="003C129D"/>
    <w:rsid w:val="003C1AA5"/>
    <w:rsid w:val="003C1E2E"/>
    <w:rsid w:val="003C323B"/>
    <w:rsid w:val="003C43CB"/>
    <w:rsid w:val="003C5B0D"/>
    <w:rsid w:val="003C5DE0"/>
    <w:rsid w:val="003C5E25"/>
    <w:rsid w:val="003C60FA"/>
    <w:rsid w:val="003C64C2"/>
    <w:rsid w:val="003C6634"/>
    <w:rsid w:val="003C6800"/>
    <w:rsid w:val="003C6AC1"/>
    <w:rsid w:val="003C6F44"/>
    <w:rsid w:val="003C75C5"/>
    <w:rsid w:val="003C7984"/>
    <w:rsid w:val="003C7C4B"/>
    <w:rsid w:val="003C7F67"/>
    <w:rsid w:val="003D068D"/>
    <w:rsid w:val="003D0B0E"/>
    <w:rsid w:val="003D2667"/>
    <w:rsid w:val="003D324D"/>
    <w:rsid w:val="003D3424"/>
    <w:rsid w:val="003D34CD"/>
    <w:rsid w:val="003D538D"/>
    <w:rsid w:val="003D5F4B"/>
    <w:rsid w:val="003D65E2"/>
    <w:rsid w:val="003E1479"/>
    <w:rsid w:val="003E1C52"/>
    <w:rsid w:val="003E1ECA"/>
    <w:rsid w:val="003E2388"/>
    <w:rsid w:val="003E2CB1"/>
    <w:rsid w:val="003E3D3C"/>
    <w:rsid w:val="003E4301"/>
    <w:rsid w:val="003E465B"/>
    <w:rsid w:val="003E5598"/>
    <w:rsid w:val="003E5634"/>
    <w:rsid w:val="003E6059"/>
    <w:rsid w:val="003E6163"/>
    <w:rsid w:val="003E735A"/>
    <w:rsid w:val="003E74AF"/>
    <w:rsid w:val="003F0EA9"/>
    <w:rsid w:val="003F20FC"/>
    <w:rsid w:val="003F291F"/>
    <w:rsid w:val="003F2BFC"/>
    <w:rsid w:val="003F3490"/>
    <w:rsid w:val="003F40FE"/>
    <w:rsid w:val="003F4189"/>
    <w:rsid w:val="003F43CF"/>
    <w:rsid w:val="003F471C"/>
    <w:rsid w:val="003F493D"/>
    <w:rsid w:val="003F4DAA"/>
    <w:rsid w:val="003F5B00"/>
    <w:rsid w:val="003F5B31"/>
    <w:rsid w:val="003F6104"/>
    <w:rsid w:val="003F7081"/>
    <w:rsid w:val="003F7DAA"/>
    <w:rsid w:val="0040044A"/>
    <w:rsid w:val="00401557"/>
    <w:rsid w:val="0040198D"/>
    <w:rsid w:val="004021B9"/>
    <w:rsid w:val="00402684"/>
    <w:rsid w:val="00402826"/>
    <w:rsid w:val="00402FAC"/>
    <w:rsid w:val="00403E59"/>
    <w:rsid w:val="00404583"/>
    <w:rsid w:val="00404C56"/>
    <w:rsid w:val="00405A72"/>
    <w:rsid w:val="00405D12"/>
    <w:rsid w:val="00406B6C"/>
    <w:rsid w:val="00406CD3"/>
    <w:rsid w:val="00406E62"/>
    <w:rsid w:val="0040780F"/>
    <w:rsid w:val="004100A3"/>
    <w:rsid w:val="00411092"/>
    <w:rsid w:val="00411CE0"/>
    <w:rsid w:val="00412564"/>
    <w:rsid w:val="00413FEC"/>
    <w:rsid w:val="00414FF4"/>
    <w:rsid w:val="00415184"/>
    <w:rsid w:val="00416D35"/>
    <w:rsid w:val="00416D7F"/>
    <w:rsid w:val="00417434"/>
    <w:rsid w:val="0041770E"/>
    <w:rsid w:val="00417A3D"/>
    <w:rsid w:val="00417E92"/>
    <w:rsid w:val="0042028A"/>
    <w:rsid w:val="0042160A"/>
    <w:rsid w:val="00421CA2"/>
    <w:rsid w:val="00421CE9"/>
    <w:rsid w:val="00421D6A"/>
    <w:rsid w:val="00422399"/>
    <w:rsid w:val="00423C9A"/>
    <w:rsid w:val="00424107"/>
    <w:rsid w:val="0042499F"/>
    <w:rsid w:val="00424D43"/>
    <w:rsid w:val="004252AA"/>
    <w:rsid w:val="00425B98"/>
    <w:rsid w:val="0042720B"/>
    <w:rsid w:val="004273DF"/>
    <w:rsid w:val="004303CC"/>
    <w:rsid w:val="004310E0"/>
    <w:rsid w:val="0043164A"/>
    <w:rsid w:val="00431863"/>
    <w:rsid w:val="004322B3"/>
    <w:rsid w:val="00432600"/>
    <w:rsid w:val="00432767"/>
    <w:rsid w:val="00432D7F"/>
    <w:rsid w:val="00433327"/>
    <w:rsid w:val="004335F1"/>
    <w:rsid w:val="00433A3F"/>
    <w:rsid w:val="00433BCB"/>
    <w:rsid w:val="0043406F"/>
    <w:rsid w:val="00434121"/>
    <w:rsid w:val="00434249"/>
    <w:rsid w:val="00434CAD"/>
    <w:rsid w:val="00434D6A"/>
    <w:rsid w:val="004360C8"/>
    <w:rsid w:val="00436707"/>
    <w:rsid w:val="00436755"/>
    <w:rsid w:val="0043698C"/>
    <w:rsid w:val="00436FB2"/>
    <w:rsid w:val="004371F0"/>
    <w:rsid w:val="00437704"/>
    <w:rsid w:val="00437BB7"/>
    <w:rsid w:val="004401D2"/>
    <w:rsid w:val="00440B50"/>
    <w:rsid w:val="00440D7F"/>
    <w:rsid w:val="00441721"/>
    <w:rsid w:val="004425D7"/>
    <w:rsid w:val="00442760"/>
    <w:rsid w:val="0044310A"/>
    <w:rsid w:val="004437DE"/>
    <w:rsid w:val="004441CF"/>
    <w:rsid w:val="004442DC"/>
    <w:rsid w:val="0044731E"/>
    <w:rsid w:val="00447B72"/>
    <w:rsid w:val="00447CB6"/>
    <w:rsid w:val="004528A5"/>
    <w:rsid w:val="004532E0"/>
    <w:rsid w:val="00454F72"/>
    <w:rsid w:val="00455313"/>
    <w:rsid w:val="004604D8"/>
    <w:rsid w:val="004608EC"/>
    <w:rsid w:val="00461849"/>
    <w:rsid w:val="00462B6F"/>
    <w:rsid w:val="00462F34"/>
    <w:rsid w:val="00464442"/>
    <w:rsid w:val="00464FD3"/>
    <w:rsid w:val="00466359"/>
    <w:rsid w:val="0046689D"/>
    <w:rsid w:val="00466DC9"/>
    <w:rsid w:val="00467669"/>
    <w:rsid w:val="00467BFE"/>
    <w:rsid w:val="00467D09"/>
    <w:rsid w:val="00467D17"/>
    <w:rsid w:val="00470666"/>
    <w:rsid w:val="004707F1"/>
    <w:rsid w:val="00470AB2"/>
    <w:rsid w:val="00471282"/>
    <w:rsid w:val="0047198A"/>
    <w:rsid w:val="00471DB2"/>
    <w:rsid w:val="00472204"/>
    <w:rsid w:val="00473855"/>
    <w:rsid w:val="004738C3"/>
    <w:rsid w:val="0047469D"/>
    <w:rsid w:val="0047685D"/>
    <w:rsid w:val="00476B67"/>
    <w:rsid w:val="0048251C"/>
    <w:rsid w:val="00482BEA"/>
    <w:rsid w:val="00483B0F"/>
    <w:rsid w:val="00484A94"/>
    <w:rsid w:val="00484FAD"/>
    <w:rsid w:val="0048516C"/>
    <w:rsid w:val="004857C8"/>
    <w:rsid w:val="004858EA"/>
    <w:rsid w:val="00485C14"/>
    <w:rsid w:val="00485CDA"/>
    <w:rsid w:val="00485CE6"/>
    <w:rsid w:val="00485EA3"/>
    <w:rsid w:val="004863F4"/>
    <w:rsid w:val="00487108"/>
    <w:rsid w:val="004879C8"/>
    <w:rsid w:val="0049136C"/>
    <w:rsid w:val="00491C3C"/>
    <w:rsid w:val="00491E41"/>
    <w:rsid w:val="00493A22"/>
    <w:rsid w:val="00493D20"/>
    <w:rsid w:val="00494238"/>
    <w:rsid w:val="004945FF"/>
    <w:rsid w:val="004955A7"/>
    <w:rsid w:val="0049589A"/>
    <w:rsid w:val="004A01B9"/>
    <w:rsid w:val="004A0452"/>
    <w:rsid w:val="004A0A5F"/>
    <w:rsid w:val="004A10D5"/>
    <w:rsid w:val="004A172E"/>
    <w:rsid w:val="004A2560"/>
    <w:rsid w:val="004A2828"/>
    <w:rsid w:val="004A299E"/>
    <w:rsid w:val="004A33E5"/>
    <w:rsid w:val="004A393B"/>
    <w:rsid w:val="004A5214"/>
    <w:rsid w:val="004A57D8"/>
    <w:rsid w:val="004A580F"/>
    <w:rsid w:val="004A6800"/>
    <w:rsid w:val="004B04ED"/>
    <w:rsid w:val="004B05BC"/>
    <w:rsid w:val="004B07FD"/>
    <w:rsid w:val="004B1706"/>
    <w:rsid w:val="004B1846"/>
    <w:rsid w:val="004B20C9"/>
    <w:rsid w:val="004B21A3"/>
    <w:rsid w:val="004B2914"/>
    <w:rsid w:val="004B2E78"/>
    <w:rsid w:val="004B2F68"/>
    <w:rsid w:val="004B3373"/>
    <w:rsid w:val="004B33BB"/>
    <w:rsid w:val="004B4B2D"/>
    <w:rsid w:val="004B4BFC"/>
    <w:rsid w:val="004B522C"/>
    <w:rsid w:val="004B5A10"/>
    <w:rsid w:val="004B5F6C"/>
    <w:rsid w:val="004B6274"/>
    <w:rsid w:val="004B7398"/>
    <w:rsid w:val="004B7CCC"/>
    <w:rsid w:val="004C0633"/>
    <w:rsid w:val="004C257C"/>
    <w:rsid w:val="004C3B8B"/>
    <w:rsid w:val="004C3D7D"/>
    <w:rsid w:val="004C4014"/>
    <w:rsid w:val="004C46B0"/>
    <w:rsid w:val="004C4720"/>
    <w:rsid w:val="004C69A0"/>
    <w:rsid w:val="004C6D82"/>
    <w:rsid w:val="004C76FF"/>
    <w:rsid w:val="004C7818"/>
    <w:rsid w:val="004C7AD3"/>
    <w:rsid w:val="004C7E84"/>
    <w:rsid w:val="004D0054"/>
    <w:rsid w:val="004D0113"/>
    <w:rsid w:val="004D0767"/>
    <w:rsid w:val="004D0AD2"/>
    <w:rsid w:val="004D33C4"/>
    <w:rsid w:val="004D3935"/>
    <w:rsid w:val="004D3C87"/>
    <w:rsid w:val="004D4D99"/>
    <w:rsid w:val="004D5F74"/>
    <w:rsid w:val="004D6564"/>
    <w:rsid w:val="004D682D"/>
    <w:rsid w:val="004D77A2"/>
    <w:rsid w:val="004D7B7E"/>
    <w:rsid w:val="004E1EE7"/>
    <w:rsid w:val="004E4030"/>
    <w:rsid w:val="004E53FB"/>
    <w:rsid w:val="004E564B"/>
    <w:rsid w:val="004E5853"/>
    <w:rsid w:val="004E59B6"/>
    <w:rsid w:val="004E5AA9"/>
    <w:rsid w:val="004E5D15"/>
    <w:rsid w:val="004E7604"/>
    <w:rsid w:val="004E7AEA"/>
    <w:rsid w:val="004E7F0C"/>
    <w:rsid w:val="004F06CA"/>
    <w:rsid w:val="004F0EEA"/>
    <w:rsid w:val="004F10B4"/>
    <w:rsid w:val="004F1134"/>
    <w:rsid w:val="004F1211"/>
    <w:rsid w:val="004F195E"/>
    <w:rsid w:val="004F228D"/>
    <w:rsid w:val="004F3D63"/>
    <w:rsid w:val="004F42B4"/>
    <w:rsid w:val="004F46E0"/>
    <w:rsid w:val="004F4DEC"/>
    <w:rsid w:val="004F54FD"/>
    <w:rsid w:val="004F5BC2"/>
    <w:rsid w:val="004F5F05"/>
    <w:rsid w:val="004F6C7A"/>
    <w:rsid w:val="00500056"/>
    <w:rsid w:val="0050021D"/>
    <w:rsid w:val="00501954"/>
    <w:rsid w:val="00501E9B"/>
    <w:rsid w:val="0050238F"/>
    <w:rsid w:val="005032D2"/>
    <w:rsid w:val="00503407"/>
    <w:rsid w:val="00503471"/>
    <w:rsid w:val="00503850"/>
    <w:rsid w:val="00503F74"/>
    <w:rsid w:val="0050403A"/>
    <w:rsid w:val="00504342"/>
    <w:rsid w:val="00504A59"/>
    <w:rsid w:val="00504CB5"/>
    <w:rsid w:val="00504F81"/>
    <w:rsid w:val="00505C25"/>
    <w:rsid w:val="005066B2"/>
    <w:rsid w:val="00506728"/>
    <w:rsid w:val="00507373"/>
    <w:rsid w:val="005077A6"/>
    <w:rsid w:val="00507D09"/>
    <w:rsid w:val="00510257"/>
    <w:rsid w:val="00511136"/>
    <w:rsid w:val="00511278"/>
    <w:rsid w:val="00511B98"/>
    <w:rsid w:val="00511CC3"/>
    <w:rsid w:val="0051398D"/>
    <w:rsid w:val="00513AB1"/>
    <w:rsid w:val="00514655"/>
    <w:rsid w:val="005146DE"/>
    <w:rsid w:val="00516B31"/>
    <w:rsid w:val="00516BD7"/>
    <w:rsid w:val="00516D9C"/>
    <w:rsid w:val="005176F3"/>
    <w:rsid w:val="0052080A"/>
    <w:rsid w:val="005208A5"/>
    <w:rsid w:val="00520BBF"/>
    <w:rsid w:val="0052139C"/>
    <w:rsid w:val="0052155A"/>
    <w:rsid w:val="00521656"/>
    <w:rsid w:val="00521A28"/>
    <w:rsid w:val="00522189"/>
    <w:rsid w:val="0052241E"/>
    <w:rsid w:val="00523823"/>
    <w:rsid w:val="0052449E"/>
    <w:rsid w:val="00524500"/>
    <w:rsid w:val="00524F27"/>
    <w:rsid w:val="0052502E"/>
    <w:rsid w:val="00525614"/>
    <w:rsid w:val="00525834"/>
    <w:rsid w:val="00525B8A"/>
    <w:rsid w:val="005261EF"/>
    <w:rsid w:val="0052639B"/>
    <w:rsid w:val="005266DB"/>
    <w:rsid w:val="00526A04"/>
    <w:rsid w:val="00526A5D"/>
    <w:rsid w:val="00526BCD"/>
    <w:rsid w:val="00526D5C"/>
    <w:rsid w:val="00527B80"/>
    <w:rsid w:val="005312BD"/>
    <w:rsid w:val="00531DEA"/>
    <w:rsid w:val="00532AF2"/>
    <w:rsid w:val="00533028"/>
    <w:rsid w:val="005332DC"/>
    <w:rsid w:val="00533481"/>
    <w:rsid w:val="005346EF"/>
    <w:rsid w:val="00535176"/>
    <w:rsid w:val="00535358"/>
    <w:rsid w:val="0053576E"/>
    <w:rsid w:val="0053599E"/>
    <w:rsid w:val="0053639A"/>
    <w:rsid w:val="005376E8"/>
    <w:rsid w:val="00537C3E"/>
    <w:rsid w:val="005403FA"/>
    <w:rsid w:val="00540B8D"/>
    <w:rsid w:val="00541260"/>
    <w:rsid w:val="00541CC1"/>
    <w:rsid w:val="00542125"/>
    <w:rsid w:val="00542303"/>
    <w:rsid w:val="00542D67"/>
    <w:rsid w:val="00542FF9"/>
    <w:rsid w:val="005432FF"/>
    <w:rsid w:val="005451AC"/>
    <w:rsid w:val="00545626"/>
    <w:rsid w:val="005458D5"/>
    <w:rsid w:val="00546AA5"/>
    <w:rsid w:val="005504B7"/>
    <w:rsid w:val="00551653"/>
    <w:rsid w:val="00552899"/>
    <w:rsid w:val="005544D3"/>
    <w:rsid w:val="005546E9"/>
    <w:rsid w:val="0055507F"/>
    <w:rsid w:val="00555E39"/>
    <w:rsid w:val="00556044"/>
    <w:rsid w:val="0055635F"/>
    <w:rsid w:val="0055662C"/>
    <w:rsid w:val="005569D8"/>
    <w:rsid w:val="005571CC"/>
    <w:rsid w:val="005574C8"/>
    <w:rsid w:val="00560568"/>
    <w:rsid w:val="0056056D"/>
    <w:rsid w:val="0056079F"/>
    <w:rsid w:val="005607B3"/>
    <w:rsid w:val="0056114A"/>
    <w:rsid w:val="00561660"/>
    <w:rsid w:val="00561CA0"/>
    <w:rsid w:val="00562285"/>
    <w:rsid w:val="00562606"/>
    <w:rsid w:val="00563658"/>
    <w:rsid w:val="00563A2C"/>
    <w:rsid w:val="0056404E"/>
    <w:rsid w:val="00564086"/>
    <w:rsid w:val="005655AB"/>
    <w:rsid w:val="00565C95"/>
    <w:rsid w:val="00566073"/>
    <w:rsid w:val="00567295"/>
    <w:rsid w:val="00567850"/>
    <w:rsid w:val="00567A14"/>
    <w:rsid w:val="00567E9B"/>
    <w:rsid w:val="005706C3"/>
    <w:rsid w:val="00570952"/>
    <w:rsid w:val="005720E7"/>
    <w:rsid w:val="005733B7"/>
    <w:rsid w:val="00573FE6"/>
    <w:rsid w:val="00574B99"/>
    <w:rsid w:val="005751C5"/>
    <w:rsid w:val="00575EB1"/>
    <w:rsid w:val="00576B9B"/>
    <w:rsid w:val="00576D39"/>
    <w:rsid w:val="00580A44"/>
    <w:rsid w:val="00582241"/>
    <w:rsid w:val="00582600"/>
    <w:rsid w:val="00583472"/>
    <w:rsid w:val="0058364D"/>
    <w:rsid w:val="005836E2"/>
    <w:rsid w:val="00583941"/>
    <w:rsid w:val="00585B0D"/>
    <w:rsid w:val="00585FCF"/>
    <w:rsid w:val="005861C2"/>
    <w:rsid w:val="00586DBE"/>
    <w:rsid w:val="005905F5"/>
    <w:rsid w:val="0059085C"/>
    <w:rsid w:val="00590BFB"/>
    <w:rsid w:val="00590E5C"/>
    <w:rsid w:val="00591DF2"/>
    <w:rsid w:val="0059228B"/>
    <w:rsid w:val="00592797"/>
    <w:rsid w:val="005938CF"/>
    <w:rsid w:val="00593A49"/>
    <w:rsid w:val="00593ABD"/>
    <w:rsid w:val="005944FB"/>
    <w:rsid w:val="0059500F"/>
    <w:rsid w:val="0059724A"/>
    <w:rsid w:val="005972D5"/>
    <w:rsid w:val="00597633"/>
    <w:rsid w:val="00597AC3"/>
    <w:rsid w:val="00597D88"/>
    <w:rsid w:val="005A0DBE"/>
    <w:rsid w:val="005A1142"/>
    <w:rsid w:val="005A11D6"/>
    <w:rsid w:val="005A14B7"/>
    <w:rsid w:val="005A1C3D"/>
    <w:rsid w:val="005A203B"/>
    <w:rsid w:val="005A29B9"/>
    <w:rsid w:val="005A2E3D"/>
    <w:rsid w:val="005A3C76"/>
    <w:rsid w:val="005A3D1E"/>
    <w:rsid w:val="005A4438"/>
    <w:rsid w:val="005A5BEB"/>
    <w:rsid w:val="005A6873"/>
    <w:rsid w:val="005A729F"/>
    <w:rsid w:val="005A7695"/>
    <w:rsid w:val="005B0E02"/>
    <w:rsid w:val="005B0ED9"/>
    <w:rsid w:val="005B1CF7"/>
    <w:rsid w:val="005B2547"/>
    <w:rsid w:val="005B29F8"/>
    <w:rsid w:val="005B3389"/>
    <w:rsid w:val="005B33FC"/>
    <w:rsid w:val="005B3B48"/>
    <w:rsid w:val="005B3BB0"/>
    <w:rsid w:val="005B3D0C"/>
    <w:rsid w:val="005B3FF1"/>
    <w:rsid w:val="005B4430"/>
    <w:rsid w:val="005B4AD2"/>
    <w:rsid w:val="005B4F64"/>
    <w:rsid w:val="005B5901"/>
    <w:rsid w:val="005B6161"/>
    <w:rsid w:val="005B63B9"/>
    <w:rsid w:val="005B63BD"/>
    <w:rsid w:val="005B63E1"/>
    <w:rsid w:val="005B67FE"/>
    <w:rsid w:val="005B6C72"/>
    <w:rsid w:val="005B702D"/>
    <w:rsid w:val="005B762F"/>
    <w:rsid w:val="005B76B8"/>
    <w:rsid w:val="005B79BB"/>
    <w:rsid w:val="005B7F69"/>
    <w:rsid w:val="005C1138"/>
    <w:rsid w:val="005C116B"/>
    <w:rsid w:val="005C2866"/>
    <w:rsid w:val="005C31F4"/>
    <w:rsid w:val="005C4A62"/>
    <w:rsid w:val="005C4E69"/>
    <w:rsid w:val="005C501C"/>
    <w:rsid w:val="005C5825"/>
    <w:rsid w:val="005C675A"/>
    <w:rsid w:val="005C6B9D"/>
    <w:rsid w:val="005C6C01"/>
    <w:rsid w:val="005C6DF5"/>
    <w:rsid w:val="005C713A"/>
    <w:rsid w:val="005C7B0E"/>
    <w:rsid w:val="005C7F58"/>
    <w:rsid w:val="005D0D0C"/>
    <w:rsid w:val="005D200A"/>
    <w:rsid w:val="005D294C"/>
    <w:rsid w:val="005D2A00"/>
    <w:rsid w:val="005D3102"/>
    <w:rsid w:val="005D43A7"/>
    <w:rsid w:val="005D468D"/>
    <w:rsid w:val="005D470D"/>
    <w:rsid w:val="005D475E"/>
    <w:rsid w:val="005D476D"/>
    <w:rsid w:val="005D524A"/>
    <w:rsid w:val="005D6067"/>
    <w:rsid w:val="005D7141"/>
    <w:rsid w:val="005E0670"/>
    <w:rsid w:val="005E0D51"/>
    <w:rsid w:val="005E0E28"/>
    <w:rsid w:val="005E1529"/>
    <w:rsid w:val="005E1D1F"/>
    <w:rsid w:val="005E1EC5"/>
    <w:rsid w:val="005E28F9"/>
    <w:rsid w:val="005E2E59"/>
    <w:rsid w:val="005E39B6"/>
    <w:rsid w:val="005E4FF9"/>
    <w:rsid w:val="005E58D3"/>
    <w:rsid w:val="005E63AA"/>
    <w:rsid w:val="005E69E6"/>
    <w:rsid w:val="005F044C"/>
    <w:rsid w:val="005F188A"/>
    <w:rsid w:val="005F2116"/>
    <w:rsid w:val="005F24C2"/>
    <w:rsid w:val="005F2864"/>
    <w:rsid w:val="005F339D"/>
    <w:rsid w:val="005F33E8"/>
    <w:rsid w:val="005F3EEC"/>
    <w:rsid w:val="005F4B3F"/>
    <w:rsid w:val="005F4E8F"/>
    <w:rsid w:val="005F4E90"/>
    <w:rsid w:val="005F52F4"/>
    <w:rsid w:val="005F68AF"/>
    <w:rsid w:val="005F6B3F"/>
    <w:rsid w:val="005F6D82"/>
    <w:rsid w:val="005F6EB6"/>
    <w:rsid w:val="005F7895"/>
    <w:rsid w:val="00600936"/>
    <w:rsid w:val="00600BF9"/>
    <w:rsid w:val="00600EA5"/>
    <w:rsid w:val="00601B21"/>
    <w:rsid w:val="00601C06"/>
    <w:rsid w:val="00601ED1"/>
    <w:rsid w:val="0060240B"/>
    <w:rsid w:val="0060275C"/>
    <w:rsid w:val="00602CAE"/>
    <w:rsid w:val="00602E2D"/>
    <w:rsid w:val="00602FB0"/>
    <w:rsid w:val="00603428"/>
    <w:rsid w:val="006036AD"/>
    <w:rsid w:val="00604205"/>
    <w:rsid w:val="00605734"/>
    <w:rsid w:val="0060593C"/>
    <w:rsid w:val="00605F98"/>
    <w:rsid w:val="006061F1"/>
    <w:rsid w:val="0060693C"/>
    <w:rsid w:val="00606FAF"/>
    <w:rsid w:val="00607E75"/>
    <w:rsid w:val="00607F6C"/>
    <w:rsid w:val="006107CC"/>
    <w:rsid w:val="00610846"/>
    <w:rsid w:val="006108DB"/>
    <w:rsid w:val="00611738"/>
    <w:rsid w:val="006126BC"/>
    <w:rsid w:val="00612774"/>
    <w:rsid w:val="00612A1B"/>
    <w:rsid w:val="00612BB6"/>
    <w:rsid w:val="0061445F"/>
    <w:rsid w:val="00615A55"/>
    <w:rsid w:val="00617567"/>
    <w:rsid w:val="00620D11"/>
    <w:rsid w:val="00620DCE"/>
    <w:rsid w:val="006215B5"/>
    <w:rsid w:val="00622625"/>
    <w:rsid w:val="00623630"/>
    <w:rsid w:val="0062378C"/>
    <w:rsid w:val="006237CB"/>
    <w:rsid w:val="00623B3E"/>
    <w:rsid w:val="00624794"/>
    <w:rsid w:val="00624A73"/>
    <w:rsid w:val="00624C80"/>
    <w:rsid w:val="0062505A"/>
    <w:rsid w:val="006251D5"/>
    <w:rsid w:val="006251E1"/>
    <w:rsid w:val="0062539B"/>
    <w:rsid w:val="006260CA"/>
    <w:rsid w:val="006267C1"/>
    <w:rsid w:val="00626909"/>
    <w:rsid w:val="00627288"/>
    <w:rsid w:val="0062745F"/>
    <w:rsid w:val="00630A07"/>
    <w:rsid w:val="00630DBA"/>
    <w:rsid w:val="00631CAF"/>
    <w:rsid w:val="00631E1F"/>
    <w:rsid w:val="006325B4"/>
    <w:rsid w:val="006329AD"/>
    <w:rsid w:val="00632A37"/>
    <w:rsid w:val="00632D5E"/>
    <w:rsid w:val="006331FB"/>
    <w:rsid w:val="00633308"/>
    <w:rsid w:val="0063350E"/>
    <w:rsid w:val="00633931"/>
    <w:rsid w:val="006340D8"/>
    <w:rsid w:val="00634E67"/>
    <w:rsid w:val="006356DC"/>
    <w:rsid w:val="006361FD"/>
    <w:rsid w:val="00636B5D"/>
    <w:rsid w:val="00636DBE"/>
    <w:rsid w:val="00637162"/>
    <w:rsid w:val="00637DD2"/>
    <w:rsid w:val="00637E6A"/>
    <w:rsid w:val="0064037F"/>
    <w:rsid w:val="0064099C"/>
    <w:rsid w:val="00640FE7"/>
    <w:rsid w:val="006412E3"/>
    <w:rsid w:val="0064199E"/>
    <w:rsid w:val="00641ADA"/>
    <w:rsid w:val="0064219F"/>
    <w:rsid w:val="00642E5C"/>
    <w:rsid w:val="006432C0"/>
    <w:rsid w:val="00643DA5"/>
    <w:rsid w:val="00644469"/>
    <w:rsid w:val="00645342"/>
    <w:rsid w:val="00646120"/>
    <w:rsid w:val="00647475"/>
    <w:rsid w:val="00650415"/>
    <w:rsid w:val="00650D7C"/>
    <w:rsid w:val="006510F1"/>
    <w:rsid w:val="00651B2A"/>
    <w:rsid w:val="00652B52"/>
    <w:rsid w:val="00652F53"/>
    <w:rsid w:val="00654374"/>
    <w:rsid w:val="00654688"/>
    <w:rsid w:val="00655B58"/>
    <w:rsid w:val="00655E53"/>
    <w:rsid w:val="00656570"/>
    <w:rsid w:val="006570B8"/>
    <w:rsid w:val="0065790E"/>
    <w:rsid w:val="00660AF9"/>
    <w:rsid w:val="00661DCE"/>
    <w:rsid w:val="00661E37"/>
    <w:rsid w:val="00662504"/>
    <w:rsid w:val="00662733"/>
    <w:rsid w:val="00663FD3"/>
    <w:rsid w:val="0066400A"/>
    <w:rsid w:val="00664494"/>
    <w:rsid w:val="006645D7"/>
    <w:rsid w:val="006649EF"/>
    <w:rsid w:val="00664A76"/>
    <w:rsid w:val="0066527F"/>
    <w:rsid w:val="0066668C"/>
    <w:rsid w:val="00666DC3"/>
    <w:rsid w:val="00670227"/>
    <w:rsid w:val="00670B96"/>
    <w:rsid w:val="00671302"/>
    <w:rsid w:val="006715BB"/>
    <w:rsid w:val="00671759"/>
    <w:rsid w:val="00672B9D"/>
    <w:rsid w:val="00672EA3"/>
    <w:rsid w:val="00672F9B"/>
    <w:rsid w:val="006743F1"/>
    <w:rsid w:val="00674D44"/>
    <w:rsid w:val="00674FAC"/>
    <w:rsid w:val="006750CE"/>
    <w:rsid w:val="00675406"/>
    <w:rsid w:val="00676221"/>
    <w:rsid w:val="00676296"/>
    <w:rsid w:val="006772F3"/>
    <w:rsid w:val="006773BE"/>
    <w:rsid w:val="00677C11"/>
    <w:rsid w:val="0068045D"/>
    <w:rsid w:val="0068096E"/>
    <w:rsid w:val="00680AC9"/>
    <w:rsid w:val="00680EDA"/>
    <w:rsid w:val="0068167E"/>
    <w:rsid w:val="00681B7A"/>
    <w:rsid w:val="00682360"/>
    <w:rsid w:val="00683E58"/>
    <w:rsid w:val="00686F2D"/>
    <w:rsid w:val="006871AF"/>
    <w:rsid w:val="0069014C"/>
    <w:rsid w:val="00691297"/>
    <w:rsid w:val="00691D48"/>
    <w:rsid w:val="006925FC"/>
    <w:rsid w:val="00693821"/>
    <w:rsid w:val="00693A38"/>
    <w:rsid w:val="00694A80"/>
    <w:rsid w:val="006952B0"/>
    <w:rsid w:val="00696BD3"/>
    <w:rsid w:val="00696E6B"/>
    <w:rsid w:val="00697E34"/>
    <w:rsid w:val="00697E7C"/>
    <w:rsid w:val="006A05AA"/>
    <w:rsid w:val="006A14F6"/>
    <w:rsid w:val="006A1F2F"/>
    <w:rsid w:val="006A2585"/>
    <w:rsid w:val="006A3AE6"/>
    <w:rsid w:val="006A3D06"/>
    <w:rsid w:val="006A473C"/>
    <w:rsid w:val="006A4B76"/>
    <w:rsid w:val="006A5E3B"/>
    <w:rsid w:val="006A72DA"/>
    <w:rsid w:val="006A7DC1"/>
    <w:rsid w:val="006A7E61"/>
    <w:rsid w:val="006B0B92"/>
    <w:rsid w:val="006B135A"/>
    <w:rsid w:val="006B1586"/>
    <w:rsid w:val="006B1828"/>
    <w:rsid w:val="006B1953"/>
    <w:rsid w:val="006B19EC"/>
    <w:rsid w:val="006B1A6A"/>
    <w:rsid w:val="006B269F"/>
    <w:rsid w:val="006B2E0D"/>
    <w:rsid w:val="006B365E"/>
    <w:rsid w:val="006B37DA"/>
    <w:rsid w:val="006B3A14"/>
    <w:rsid w:val="006B3F8D"/>
    <w:rsid w:val="006B50C2"/>
    <w:rsid w:val="006B61C6"/>
    <w:rsid w:val="006B623E"/>
    <w:rsid w:val="006B79A8"/>
    <w:rsid w:val="006B7C6B"/>
    <w:rsid w:val="006B7CAA"/>
    <w:rsid w:val="006B7F78"/>
    <w:rsid w:val="006C0E9C"/>
    <w:rsid w:val="006C10DD"/>
    <w:rsid w:val="006C153B"/>
    <w:rsid w:val="006C1630"/>
    <w:rsid w:val="006C256B"/>
    <w:rsid w:val="006C4149"/>
    <w:rsid w:val="006C4322"/>
    <w:rsid w:val="006C43BF"/>
    <w:rsid w:val="006C4521"/>
    <w:rsid w:val="006C4F4D"/>
    <w:rsid w:val="006C5A79"/>
    <w:rsid w:val="006C5CBC"/>
    <w:rsid w:val="006C6CDA"/>
    <w:rsid w:val="006C6FC4"/>
    <w:rsid w:val="006C751A"/>
    <w:rsid w:val="006D0483"/>
    <w:rsid w:val="006D22C1"/>
    <w:rsid w:val="006D3087"/>
    <w:rsid w:val="006D313B"/>
    <w:rsid w:val="006D318E"/>
    <w:rsid w:val="006D362B"/>
    <w:rsid w:val="006D45C0"/>
    <w:rsid w:val="006D5785"/>
    <w:rsid w:val="006D666D"/>
    <w:rsid w:val="006D6F46"/>
    <w:rsid w:val="006D7183"/>
    <w:rsid w:val="006D76BA"/>
    <w:rsid w:val="006D7AFB"/>
    <w:rsid w:val="006D7C36"/>
    <w:rsid w:val="006D7F58"/>
    <w:rsid w:val="006E1901"/>
    <w:rsid w:val="006E2237"/>
    <w:rsid w:val="006E346B"/>
    <w:rsid w:val="006E349E"/>
    <w:rsid w:val="006E379D"/>
    <w:rsid w:val="006E4141"/>
    <w:rsid w:val="006E56EF"/>
    <w:rsid w:val="006E5C0E"/>
    <w:rsid w:val="006F2106"/>
    <w:rsid w:val="006F2D86"/>
    <w:rsid w:val="006F35B4"/>
    <w:rsid w:val="006F3CDF"/>
    <w:rsid w:val="006F4007"/>
    <w:rsid w:val="006F49B2"/>
    <w:rsid w:val="006F4DC2"/>
    <w:rsid w:val="006F54E6"/>
    <w:rsid w:val="006F57BB"/>
    <w:rsid w:val="006F5E71"/>
    <w:rsid w:val="006F6B6F"/>
    <w:rsid w:val="006F7155"/>
    <w:rsid w:val="0070047C"/>
    <w:rsid w:val="00700768"/>
    <w:rsid w:val="007009CD"/>
    <w:rsid w:val="00700BCB"/>
    <w:rsid w:val="00701049"/>
    <w:rsid w:val="0070138F"/>
    <w:rsid w:val="007013B2"/>
    <w:rsid w:val="00701F6F"/>
    <w:rsid w:val="007026DC"/>
    <w:rsid w:val="0070292E"/>
    <w:rsid w:val="00702DDB"/>
    <w:rsid w:val="007038E7"/>
    <w:rsid w:val="00705B07"/>
    <w:rsid w:val="00707DB4"/>
    <w:rsid w:val="0071049D"/>
    <w:rsid w:val="00710B5A"/>
    <w:rsid w:val="007114EF"/>
    <w:rsid w:val="00711E77"/>
    <w:rsid w:val="00713710"/>
    <w:rsid w:val="00714040"/>
    <w:rsid w:val="00714A33"/>
    <w:rsid w:val="00717A22"/>
    <w:rsid w:val="00720AAF"/>
    <w:rsid w:val="00721B15"/>
    <w:rsid w:val="00721F76"/>
    <w:rsid w:val="0072249E"/>
    <w:rsid w:val="0072272B"/>
    <w:rsid w:val="00722A4F"/>
    <w:rsid w:val="00722BE2"/>
    <w:rsid w:val="00722C02"/>
    <w:rsid w:val="00724217"/>
    <w:rsid w:val="007245AD"/>
    <w:rsid w:val="007246A2"/>
    <w:rsid w:val="00724AE6"/>
    <w:rsid w:val="00725A58"/>
    <w:rsid w:val="00725B89"/>
    <w:rsid w:val="00726684"/>
    <w:rsid w:val="00726738"/>
    <w:rsid w:val="00726E59"/>
    <w:rsid w:val="00731370"/>
    <w:rsid w:val="007328B8"/>
    <w:rsid w:val="007328DE"/>
    <w:rsid w:val="00733546"/>
    <w:rsid w:val="00733DE6"/>
    <w:rsid w:val="007351D0"/>
    <w:rsid w:val="00735E44"/>
    <w:rsid w:val="0073611D"/>
    <w:rsid w:val="007364BA"/>
    <w:rsid w:val="007377A9"/>
    <w:rsid w:val="00737C7A"/>
    <w:rsid w:val="00740C27"/>
    <w:rsid w:val="007417E0"/>
    <w:rsid w:val="007424DE"/>
    <w:rsid w:val="00743FAE"/>
    <w:rsid w:val="00745148"/>
    <w:rsid w:val="00745536"/>
    <w:rsid w:val="00745B6F"/>
    <w:rsid w:val="00745B79"/>
    <w:rsid w:val="00746145"/>
    <w:rsid w:val="007466A4"/>
    <w:rsid w:val="00746B80"/>
    <w:rsid w:val="00750438"/>
    <w:rsid w:val="00750679"/>
    <w:rsid w:val="00750C14"/>
    <w:rsid w:val="00751F80"/>
    <w:rsid w:val="007521C1"/>
    <w:rsid w:val="0075228A"/>
    <w:rsid w:val="007525B7"/>
    <w:rsid w:val="00752959"/>
    <w:rsid w:val="00753283"/>
    <w:rsid w:val="00753AC3"/>
    <w:rsid w:val="00753D7E"/>
    <w:rsid w:val="00754227"/>
    <w:rsid w:val="00754CC3"/>
    <w:rsid w:val="007559BF"/>
    <w:rsid w:val="00755E3E"/>
    <w:rsid w:val="007560EE"/>
    <w:rsid w:val="00756A3B"/>
    <w:rsid w:val="00756A44"/>
    <w:rsid w:val="00756E4A"/>
    <w:rsid w:val="00756FEA"/>
    <w:rsid w:val="00760893"/>
    <w:rsid w:val="0076174F"/>
    <w:rsid w:val="0076203C"/>
    <w:rsid w:val="007622B0"/>
    <w:rsid w:val="0076292C"/>
    <w:rsid w:val="007639F4"/>
    <w:rsid w:val="00763C50"/>
    <w:rsid w:val="0076450C"/>
    <w:rsid w:val="007647F4"/>
    <w:rsid w:val="00764956"/>
    <w:rsid w:val="00764C6A"/>
    <w:rsid w:val="0076512F"/>
    <w:rsid w:val="00765380"/>
    <w:rsid w:val="00765D51"/>
    <w:rsid w:val="00766448"/>
    <w:rsid w:val="0076774E"/>
    <w:rsid w:val="00767D3E"/>
    <w:rsid w:val="00770774"/>
    <w:rsid w:val="00770A32"/>
    <w:rsid w:val="00771902"/>
    <w:rsid w:val="00772913"/>
    <w:rsid w:val="00772B7C"/>
    <w:rsid w:val="00772C9F"/>
    <w:rsid w:val="007746FD"/>
    <w:rsid w:val="00774F39"/>
    <w:rsid w:val="0077530A"/>
    <w:rsid w:val="007756B2"/>
    <w:rsid w:val="00777B4F"/>
    <w:rsid w:val="00780C5C"/>
    <w:rsid w:val="007814D4"/>
    <w:rsid w:val="007818E7"/>
    <w:rsid w:val="00781A79"/>
    <w:rsid w:val="00781ACA"/>
    <w:rsid w:val="007824B9"/>
    <w:rsid w:val="0078261A"/>
    <w:rsid w:val="0078347F"/>
    <w:rsid w:val="0078354C"/>
    <w:rsid w:val="0078363F"/>
    <w:rsid w:val="007837F6"/>
    <w:rsid w:val="007841C8"/>
    <w:rsid w:val="00784F82"/>
    <w:rsid w:val="00785969"/>
    <w:rsid w:val="007859BC"/>
    <w:rsid w:val="007864EE"/>
    <w:rsid w:val="00786B80"/>
    <w:rsid w:val="007877B1"/>
    <w:rsid w:val="007904F0"/>
    <w:rsid w:val="00791788"/>
    <w:rsid w:val="00791E7F"/>
    <w:rsid w:val="00791FAC"/>
    <w:rsid w:val="00793073"/>
    <w:rsid w:val="0079361C"/>
    <w:rsid w:val="00793F40"/>
    <w:rsid w:val="007941EC"/>
    <w:rsid w:val="007952CC"/>
    <w:rsid w:val="007960AC"/>
    <w:rsid w:val="007969F3"/>
    <w:rsid w:val="00796B2F"/>
    <w:rsid w:val="00796DAD"/>
    <w:rsid w:val="007972BD"/>
    <w:rsid w:val="007A01CE"/>
    <w:rsid w:val="007A095B"/>
    <w:rsid w:val="007A0ADF"/>
    <w:rsid w:val="007A0C77"/>
    <w:rsid w:val="007A1444"/>
    <w:rsid w:val="007A2410"/>
    <w:rsid w:val="007A428F"/>
    <w:rsid w:val="007A48EB"/>
    <w:rsid w:val="007A4CEB"/>
    <w:rsid w:val="007A4FA3"/>
    <w:rsid w:val="007A4FE9"/>
    <w:rsid w:val="007A53F8"/>
    <w:rsid w:val="007A5E7C"/>
    <w:rsid w:val="007A6822"/>
    <w:rsid w:val="007A7559"/>
    <w:rsid w:val="007A799B"/>
    <w:rsid w:val="007A7D97"/>
    <w:rsid w:val="007A7FA5"/>
    <w:rsid w:val="007B01D3"/>
    <w:rsid w:val="007B0632"/>
    <w:rsid w:val="007B08BF"/>
    <w:rsid w:val="007B19B5"/>
    <w:rsid w:val="007B3C1B"/>
    <w:rsid w:val="007B665A"/>
    <w:rsid w:val="007B6E38"/>
    <w:rsid w:val="007B6FD6"/>
    <w:rsid w:val="007B7357"/>
    <w:rsid w:val="007C02EE"/>
    <w:rsid w:val="007C0565"/>
    <w:rsid w:val="007C0BEA"/>
    <w:rsid w:val="007C0E37"/>
    <w:rsid w:val="007C0ECC"/>
    <w:rsid w:val="007C14D6"/>
    <w:rsid w:val="007C15E9"/>
    <w:rsid w:val="007C2607"/>
    <w:rsid w:val="007C2A9A"/>
    <w:rsid w:val="007C2D33"/>
    <w:rsid w:val="007C39F9"/>
    <w:rsid w:val="007C4196"/>
    <w:rsid w:val="007C492E"/>
    <w:rsid w:val="007C4D1B"/>
    <w:rsid w:val="007C60DD"/>
    <w:rsid w:val="007C6291"/>
    <w:rsid w:val="007C68CA"/>
    <w:rsid w:val="007C6A4C"/>
    <w:rsid w:val="007C6CAA"/>
    <w:rsid w:val="007C77FE"/>
    <w:rsid w:val="007D02CA"/>
    <w:rsid w:val="007D069D"/>
    <w:rsid w:val="007D20F6"/>
    <w:rsid w:val="007D2131"/>
    <w:rsid w:val="007D294D"/>
    <w:rsid w:val="007D4A39"/>
    <w:rsid w:val="007D5074"/>
    <w:rsid w:val="007D574E"/>
    <w:rsid w:val="007D59FD"/>
    <w:rsid w:val="007D5A7A"/>
    <w:rsid w:val="007D64E7"/>
    <w:rsid w:val="007D661A"/>
    <w:rsid w:val="007E055C"/>
    <w:rsid w:val="007E08DD"/>
    <w:rsid w:val="007E1848"/>
    <w:rsid w:val="007E1F61"/>
    <w:rsid w:val="007E3574"/>
    <w:rsid w:val="007E3857"/>
    <w:rsid w:val="007E3CA0"/>
    <w:rsid w:val="007E40B7"/>
    <w:rsid w:val="007E42F2"/>
    <w:rsid w:val="007E43AB"/>
    <w:rsid w:val="007E492B"/>
    <w:rsid w:val="007E4A7B"/>
    <w:rsid w:val="007E526C"/>
    <w:rsid w:val="007E5425"/>
    <w:rsid w:val="007E574E"/>
    <w:rsid w:val="007E595A"/>
    <w:rsid w:val="007E5D99"/>
    <w:rsid w:val="007E5E49"/>
    <w:rsid w:val="007E644D"/>
    <w:rsid w:val="007E7491"/>
    <w:rsid w:val="007F0299"/>
    <w:rsid w:val="007F068F"/>
    <w:rsid w:val="007F0DBA"/>
    <w:rsid w:val="007F150A"/>
    <w:rsid w:val="007F163C"/>
    <w:rsid w:val="007F1A42"/>
    <w:rsid w:val="007F1AC4"/>
    <w:rsid w:val="007F1E4F"/>
    <w:rsid w:val="007F2665"/>
    <w:rsid w:val="007F2BC2"/>
    <w:rsid w:val="007F44F9"/>
    <w:rsid w:val="007F4E45"/>
    <w:rsid w:val="007F5166"/>
    <w:rsid w:val="007F5390"/>
    <w:rsid w:val="007F5C7F"/>
    <w:rsid w:val="007F61FC"/>
    <w:rsid w:val="007F6C6D"/>
    <w:rsid w:val="007F7C94"/>
    <w:rsid w:val="007F7F1D"/>
    <w:rsid w:val="008002EE"/>
    <w:rsid w:val="00800B40"/>
    <w:rsid w:val="00801270"/>
    <w:rsid w:val="00802C1D"/>
    <w:rsid w:val="008034F1"/>
    <w:rsid w:val="00803D87"/>
    <w:rsid w:val="008068FF"/>
    <w:rsid w:val="00806B12"/>
    <w:rsid w:val="00806B6A"/>
    <w:rsid w:val="008073FE"/>
    <w:rsid w:val="0080761F"/>
    <w:rsid w:val="00807913"/>
    <w:rsid w:val="0081226A"/>
    <w:rsid w:val="0081286F"/>
    <w:rsid w:val="008143BB"/>
    <w:rsid w:val="008153EE"/>
    <w:rsid w:val="00816149"/>
    <w:rsid w:val="0081707E"/>
    <w:rsid w:val="008173DC"/>
    <w:rsid w:val="008177CB"/>
    <w:rsid w:val="00817806"/>
    <w:rsid w:val="008203C4"/>
    <w:rsid w:val="0082119C"/>
    <w:rsid w:val="00821E77"/>
    <w:rsid w:val="008226B2"/>
    <w:rsid w:val="00822B7E"/>
    <w:rsid w:val="00822DC8"/>
    <w:rsid w:val="00824060"/>
    <w:rsid w:val="00825BC2"/>
    <w:rsid w:val="00826E55"/>
    <w:rsid w:val="00827494"/>
    <w:rsid w:val="008274DC"/>
    <w:rsid w:val="0082766C"/>
    <w:rsid w:val="00827A87"/>
    <w:rsid w:val="00827F16"/>
    <w:rsid w:val="00830B49"/>
    <w:rsid w:val="00830FFC"/>
    <w:rsid w:val="00831816"/>
    <w:rsid w:val="00831A30"/>
    <w:rsid w:val="00831FFD"/>
    <w:rsid w:val="00832214"/>
    <w:rsid w:val="00832779"/>
    <w:rsid w:val="0083286E"/>
    <w:rsid w:val="008333E3"/>
    <w:rsid w:val="00833D2C"/>
    <w:rsid w:val="00834100"/>
    <w:rsid w:val="008341F6"/>
    <w:rsid w:val="008353CA"/>
    <w:rsid w:val="008359F5"/>
    <w:rsid w:val="008363DE"/>
    <w:rsid w:val="00836511"/>
    <w:rsid w:val="00837F74"/>
    <w:rsid w:val="008405D0"/>
    <w:rsid w:val="00840A8E"/>
    <w:rsid w:val="00840D98"/>
    <w:rsid w:val="008411BF"/>
    <w:rsid w:val="0084220E"/>
    <w:rsid w:val="00842547"/>
    <w:rsid w:val="00842CF0"/>
    <w:rsid w:val="0084309C"/>
    <w:rsid w:val="00843124"/>
    <w:rsid w:val="00844F03"/>
    <w:rsid w:val="00845B82"/>
    <w:rsid w:val="00845C0D"/>
    <w:rsid w:val="00845D4B"/>
    <w:rsid w:val="00846CD2"/>
    <w:rsid w:val="0084712C"/>
    <w:rsid w:val="008509C7"/>
    <w:rsid w:val="0085299A"/>
    <w:rsid w:val="00852B78"/>
    <w:rsid w:val="00852F34"/>
    <w:rsid w:val="00853714"/>
    <w:rsid w:val="00853FA4"/>
    <w:rsid w:val="00854FB5"/>
    <w:rsid w:val="00854FE2"/>
    <w:rsid w:val="008557E6"/>
    <w:rsid w:val="00855E46"/>
    <w:rsid w:val="00857247"/>
    <w:rsid w:val="008602D2"/>
    <w:rsid w:val="0086133F"/>
    <w:rsid w:val="00862453"/>
    <w:rsid w:val="00863724"/>
    <w:rsid w:val="00864B44"/>
    <w:rsid w:val="00864C0D"/>
    <w:rsid w:val="0086508E"/>
    <w:rsid w:val="00865D04"/>
    <w:rsid w:val="008673C0"/>
    <w:rsid w:val="008675B4"/>
    <w:rsid w:val="00867F52"/>
    <w:rsid w:val="00870CF6"/>
    <w:rsid w:val="008712B7"/>
    <w:rsid w:val="008717F9"/>
    <w:rsid w:val="008722B3"/>
    <w:rsid w:val="00872AC5"/>
    <w:rsid w:val="008739AB"/>
    <w:rsid w:val="00875A57"/>
    <w:rsid w:val="00875E36"/>
    <w:rsid w:val="00876145"/>
    <w:rsid w:val="0087631E"/>
    <w:rsid w:val="0087666A"/>
    <w:rsid w:val="008767B9"/>
    <w:rsid w:val="008776D6"/>
    <w:rsid w:val="00877A04"/>
    <w:rsid w:val="0088099B"/>
    <w:rsid w:val="008815AF"/>
    <w:rsid w:val="00881C14"/>
    <w:rsid w:val="00881D66"/>
    <w:rsid w:val="00881EE5"/>
    <w:rsid w:val="00882AF8"/>
    <w:rsid w:val="00883477"/>
    <w:rsid w:val="00883B34"/>
    <w:rsid w:val="00883FC7"/>
    <w:rsid w:val="008846C5"/>
    <w:rsid w:val="00884C3B"/>
    <w:rsid w:val="008865EE"/>
    <w:rsid w:val="00886A72"/>
    <w:rsid w:val="0088790D"/>
    <w:rsid w:val="0089016C"/>
    <w:rsid w:val="00892336"/>
    <w:rsid w:val="00892DA9"/>
    <w:rsid w:val="008938C3"/>
    <w:rsid w:val="00893FF3"/>
    <w:rsid w:val="00894402"/>
    <w:rsid w:val="00894564"/>
    <w:rsid w:val="008949EA"/>
    <w:rsid w:val="00894F99"/>
    <w:rsid w:val="00895D3E"/>
    <w:rsid w:val="00895D53"/>
    <w:rsid w:val="00895DA9"/>
    <w:rsid w:val="00895E51"/>
    <w:rsid w:val="00896108"/>
    <w:rsid w:val="00897276"/>
    <w:rsid w:val="00897572"/>
    <w:rsid w:val="008A0786"/>
    <w:rsid w:val="008A0A6F"/>
    <w:rsid w:val="008A0AF3"/>
    <w:rsid w:val="008A0CA5"/>
    <w:rsid w:val="008A16CD"/>
    <w:rsid w:val="008A3A2D"/>
    <w:rsid w:val="008A3F96"/>
    <w:rsid w:val="008A4204"/>
    <w:rsid w:val="008A5134"/>
    <w:rsid w:val="008A51F5"/>
    <w:rsid w:val="008A525A"/>
    <w:rsid w:val="008A5C17"/>
    <w:rsid w:val="008A64B0"/>
    <w:rsid w:val="008A67A5"/>
    <w:rsid w:val="008A6CE2"/>
    <w:rsid w:val="008A72E0"/>
    <w:rsid w:val="008B09C3"/>
    <w:rsid w:val="008B0EAD"/>
    <w:rsid w:val="008B0F66"/>
    <w:rsid w:val="008B1CE4"/>
    <w:rsid w:val="008B203D"/>
    <w:rsid w:val="008B2465"/>
    <w:rsid w:val="008B254D"/>
    <w:rsid w:val="008B3958"/>
    <w:rsid w:val="008B4AB0"/>
    <w:rsid w:val="008B5103"/>
    <w:rsid w:val="008B54C4"/>
    <w:rsid w:val="008B5F34"/>
    <w:rsid w:val="008B60FA"/>
    <w:rsid w:val="008B6DA4"/>
    <w:rsid w:val="008B6FE8"/>
    <w:rsid w:val="008B7A07"/>
    <w:rsid w:val="008C0328"/>
    <w:rsid w:val="008C03D9"/>
    <w:rsid w:val="008C0BE9"/>
    <w:rsid w:val="008C1637"/>
    <w:rsid w:val="008C168D"/>
    <w:rsid w:val="008C1800"/>
    <w:rsid w:val="008C1DF2"/>
    <w:rsid w:val="008C27B1"/>
    <w:rsid w:val="008C3041"/>
    <w:rsid w:val="008C3D43"/>
    <w:rsid w:val="008C422A"/>
    <w:rsid w:val="008C489C"/>
    <w:rsid w:val="008C4FDE"/>
    <w:rsid w:val="008C6FAA"/>
    <w:rsid w:val="008D01C7"/>
    <w:rsid w:val="008D1278"/>
    <w:rsid w:val="008D288F"/>
    <w:rsid w:val="008D35C5"/>
    <w:rsid w:val="008D3E76"/>
    <w:rsid w:val="008D41AF"/>
    <w:rsid w:val="008D4D1A"/>
    <w:rsid w:val="008D4E3F"/>
    <w:rsid w:val="008D5D79"/>
    <w:rsid w:val="008D67C7"/>
    <w:rsid w:val="008E062A"/>
    <w:rsid w:val="008E0D8A"/>
    <w:rsid w:val="008E17D0"/>
    <w:rsid w:val="008E2BD7"/>
    <w:rsid w:val="008E3880"/>
    <w:rsid w:val="008E42C7"/>
    <w:rsid w:val="008E4642"/>
    <w:rsid w:val="008E4E5F"/>
    <w:rsid w:val="008E545A"/>
    <w:rsid w:val="008E7A00"/>
    <w:rsid w:val="008E7CA6"/>
    <w:rsid w:val="008F01A9"/>
    <w:rsid w:val="008F105D"/>
    <w:rsid w:val="008F168B"/>
    <w:rsid w:val="008F2C15"/>
    <w:rsid w:val="008F3626"/>
    <w:rsid w:val="008F3DB6"/>
    <w:rsid w:val="008F464E"/>
    <w:rsid w:val="008F4ECF"/>
    <w:rsid w:val="008F5731"/>
    <w:rsid w:val="008F6756"/>
    <w:rsid w:val="008F71D1"/>
    <w:rsid w:val="008F758B"/>
    <w:rsid w:val="009004A6"/>
    <w:rsid w:val="00900BBF"/>
    <w:rsid w:val="0090232E"/>
    <w:rsid w:val="00902409"/>
    <w:rsid w:val="00902BD9"/>
    <w:rsid w:val="009033B8"/>
    <w:rsid w:val="009038ED"/>
    <w:rsid w:val="00903E94"/>
    <w:rsid w:val="00903F8C"/>
    <w:rsid w:val="009049EC"/>
    <w:rsid w:val="00904F89"/>
    <w:rsid w:val="009059B8"/>
    <w:rsid w:val="00905AE2"/>
    <w:rsid w:val="00906668"/>
    <w:rsid w:val="00906798"/>
    <w:rsid w:val="00906B3E"/>
    <w:rsid w:val="00910323"/>
    <w:rsid w:val="009107B2"/>
    <w:rsid w:val="00911A5C"/>
    <w:rsid w:val="009120BC"/>
    <w:rsid w:val="00912F42"/>
    <w:rsid w:val="0091312C"/>
    <w:rsid w:val="009136F5"/>
    <w:rsid w:val="00914C4D"/>
    <w:rsid w:val="00914F38"/>
    <w:rsid w:val="00915320"/>
    <w:rsid w:val="00915C20"/>
    <w:rsid w:val="00915DC8"/>
    <w:rsid w:val="00916D80"/>
    <w:rsid w:val="00916E0D"/>
    <w:rsid w:val="00916EAB"/>
    <w:rsid w:val="0091720B"/>
    <w:rsid w:val="00917878"/>
    <w:rsid w:val="00917FAD"/>
    <w:rsid w:val="00920F10"/>
    <w:rsid w:val="009216FF"/>
    <w:rsid w:val="009217FC"/>
    <w:rsid w:val="009219DD"/>
    <w:rsid w:val="00921ACC"/>
    <w:rsid w:val="00921CD7"/>
    <w:rsid w:val="00921F77"/>
    <w:rsid w:val="0092284C"/>
    <w:rsid w:val="00922DD0"/>
    <w:rsid w:val="009234B0"/>
    <w:rsid w:val="00923C43"/>
    <w:rsid w:val="00923C4F"/>
    <w:rsid w:val="00924067"/>
    <w:rsid w:val="00924336"/>
    <w:rsid w:val="0092436A"/>
    <w:rsid w:val="00924A68"/>
    <w:rsid w:val="00926BC2"/>
    <w:rsid w:val="00927FD8"/>
    <w:rsid w:val="0093081A"/>
    <w:rsid w:val="00931762"/>
    <w:rsid w:val="00931AA9"/>
    <w:rsid w:val="00931B50"/>
    <w:rsid w:val="00932136"/>
    <w:rsid w:val="00932465"/>
    <w:rsid w:val="009324DC"/>
    <w:rsid w:val="00933129"/>
    <w:rsid w:val="00933569"/>
    <w:rsid w:val="00933885"/>
    <w:rsid w:val="009350B7"/>
    <w:rsid w:val="0093525A"/>
    <w:rsid w:val="00935D84"/>
    <w:rsid w:val="00936642"/>
    <w:rsid w:val="00936916"/>
    <w:rsid w:val="00936CAC"/>
    <w:rsid w:val="00940330"/>
    <w:rsid w:val="00940EC2"/>
    <w:rsid w:val="00941868"/>
    <w:rsid w:val="00941F80"/>
    <w:rsid w:val="00942AA0"/>
    <w:rsid w:val="00942B83"/>
    <w:rsid w:val="00943C0B"/>
    <w:rsid w:val="00944505"/>
    <w:rsid w:val="00944867"/>
    <w:rsid w:val="00945C01"/>
    <w:rsid w:val="009464C7"/>
    <w:rsid w:val="009468AA"/>
    <w:rsid w:val="00947C51"/>
    <w:rsid w:val="00950A17"/>
    <w:rsid w:val="00950FCC"/>
    <w:rsid w:val="00954461"/>
    <w:rsid w:val="00954D33"/>
    <w:rsid w:val="009557AF"/>
    <w:rsid w:val="00955899"/>
    <w:rsid w:val="00955A75"/>
    <w:rsid w:val="00955FCE"/>
    <w:rsid w:val="00956A0D"/>
    <w:rsid w:val="00957090"/>
    <w:rsid w:val="0095726A"/>
    <w:rsid w:val="00957765"/>
    <w:rsid w:val="00957B1E"/>
    <w:rsid w:val="00957E2C"/>
    <w:rsid w:val="009607B5"/>
    <w:rsid w:val="00960E0D"/>
    <w:rsid w:val="00961AB3"/>
    <w:rsid w:val="0096219B"/>
    <w:rsid w:val="00962496"/>
    <w:rsid w:val="00962C78"/>
    <w:rsid w:val="00963D74"/>
    <w:rsid w:val="00963DB2"/>
    <w:rsid w:val="00964606"/>
    <w:rsid w:val="00964ADD"/>
    <w:rsid w:val="00964C89"/>
    <w:rsid w:val="00965E5A"/>
    <w:rsid w:val="009664D1"/>
    <w:rsid w:val="00967D1A"/>
    <w:rsid w:val="00970A37"/>
    <w:rsid w:val="00971277"/>
    <w:rsid w:val="0097271E"/>
    <w:rsid w:val="00973175"/>
    <w:rsid w:val="0097366F"/>
    <w:rsid w:val="009737A9"/>
    <w:rsid w:val="00973B82"/>
    <w:rsid w:val="009740BB"/>
    <w:rsid w:val="00974840"/>
    <w:rsid w:val="009749AA"/>
    <w:rsid w:val="00974B59"/>
    <w:rsid w:val="00975683"/>
    <w:rsid w:val="00975B1B"/>
    <w:rsid w:val="0097625A"/>
    <w:rsid w:val="00976381"/>
    <w:rsid w:val="009763CA"/>
    <w:rsid w:val="00977925"/>
    <w:rsid w:val="0098027B"/>
    <w:rsid w:val="00980714"/>
    <w:rsid w:val="0098189C"/>
    <w:rsid w:val="00981D77"/>
    <w:rsid w:val="009822AC"/>
    <w:rsid w:val="0098300F"/>
    <w:rsid w:val="009834BB"/>
    <w:rsid w:val="00983A51"/>
    <w:rsid w:val="00983B05"/>
    <w:rsid w:val="00984768"/>
    <w:rsid w:val="00985196"/>
    <w:rsid w:val="00985EA6"/>
    <w:rsid w:val="009878C1"/>
    <w:rsid w:val="00990C26"/>
    <w:rsid w:val="00991476"/>
    <w:rsid w:val="00991597"/>
    <w:rsid w:val="009917CC"/>
    <w:rsid w:val="00992297"/>
    <w:rsid w:val="00992520"/>
    <w:rsid w:val="00992913"/>
    <w:rsid w:val="00992FC6"/>
    <w:rsid w:val="00993E32"/>
    <w:rsid w:val="00996459"/>
    <w:rsid w:val="00996C1E"/>
    <w:rsid w:val="00996CAC"/>
    <w:rsid w:val="00996CD9"/>
    <w:rsid w:val="00996F0A"/>
    <w:rsid w:val="0099713F"/>
    <w:rsid w:val="00997CD7"/>
    <w:rsid w:val="009A00D6"/>
    <w:rsid w:val="009A037E"/>
    <w:rsid w:val="009A070F"/>
    <w:rsid w:val="009A1227"/>
    <w:rsid w:val="009A16A9"/>
    <w:rsid w:val="009A18DC"/>
    <w:rsid w:val="009A1C18"/>
    <w:rsid w:val="009A1D7D"/>
    <w:rsid w:val="009A3054"/>
    <w:rsid w:val="009A361B"/>
    <w:rsid w:val="009A37F5"/>
    <w:rsid w:val="009A466B"/>
    <w:rsid w:val="009A466F"/>
    <w:rsid w:val="009A49E4"/>
    <w:rsid w:val="009A53BA"/>
    <w:rsid w:val="009A5405"/>
    <w:rsid w:val="009A66BD"/>
    <w:rsid w:val="009A738D"/>
    <w:rsid w:val="009A77B5"/>
    <w:rsid w:val="009A78DE"/>
    <w:rsid w:val="009B089E"/>
    <w:rsid w:val="009B28E5"/>
    <w:rsid w:val="009B2DFC"/>
    <w:rsid w:val="009B3E13"/>
    <w:rsid w:val="009B40A0"/>
    <w:rsid w:val="009B4D48"/>
    <w:rsid w:val="009B6456"/>
    <w:rsid w:val="009B6625"/>
    <w:rsid w:val="009B6DDC"/>
    <w:rsid w:val="009C08C4"/>
    <w:rsid w:val="009C0F4A"/>
    <w:rsid w:val="009C1E59"/>
    <w:rsid w:val="009C26E1"/>
    <w:rsid w:val="009C2B4F"/>
    <w:rsid w:val="009C3DD5"/>
    <w:rsid w:val="009C5404"/>
    <w:rsid w:val="009C6E2B"/>
    <w:rsid w:val="009C77C7"/>
    <w:rsid w:val="009D0238"/>
    <w:rsid w:val="009D15E5"/>
    <w:rsid w:val="009D2052"/>
    <w:rsid w:val="009D27F9"/>
    <w:rsid w:val="009D2DA6"/>
    <w:rsid w:val="009D3177"/>
    <w:rsid w:val="009D31BF"/>
    <w:rsid w:val="009D353C"/>
    <w:rsid w:val="009D37C6"/>
    <w:rsid w:val="009D45D3"/>
    <w:rsid w:val="009D46BA"/>
    <w:rsid w:val="009D66B8"/>
    <w:rsid w:val="009D6A41"/>
    <w:rsid w:val="009D6A89"/>
    <w:rsid w:val="009D6B84"/>
    <w:rsid w:val="009D6DA7"/>
    <w:rsid w:val="009E1333"/>
    <w:rsid w:val="009E1B07"/>
    <w:rsid w:val="009E36C8"/>
    <w:rsid w:val="009E403A"/>
    <w:rsid w:val="009E4593"/>
    <w:rsid w:val="009E520F"/>
    <w:rsid w:val="009E64DD"/>
    <w:rsid w:val="009E6D3E"/>
    <w:rsid w:val="009E71F1"/>
    <w:rsid w:val="009E7284"/>
    <w:rsid w:val="009E766E"/>
    <w:rsid w:val="009E78F6"/>
    <w:rsid w:val="009F0191"/>
    <w:rsid w:val="009F0D1D"/>
    <w:rsid w:val="009F1421"/>
    <w:rsid w:val="009F1E35"/>
    <w:rsid w:val="009F2676"/>
    <w:rsid w:val="009F29C4"/>
    <w:rsid w:val="009F2B05"/>
    <w:rsid w:val="009F2B7B"/>
    <w:rsid w:val="009F356D"/>
    <w:rsid w:val="009F37E6"/>
    <w:rsid w:val="009F5118"/>
    <w:rsid w:val="009F6D83"/>
    <w:rsid w:val="009F704F"/>
    <w:rsid w:val="009F70DF"/>
    <w:rsid w:val="009F735A"/>
    <w:rsid w:val="009F77F6"/>
    <w:rsid w:val="009F7C4E"/>
    <w:rsid w:val="009F7FF5"/>
    <w:rsid w:val="00A008E2"/>
    <w:rsid w:val="00A009F5"/>
    <w:rsid w:val="00A00A4B"/>
    <w:rsid w:val="00A02667"/>
    <w:rsid w:val="00A02EC3"/>
    <w:rsid w:val="00A03EBC"/>
    <w:rsid w:val="00A0427F"/>
    <w:rsid w:val="00A04E52"/>
    <w:rsid w:val="00A05045"/>
    <w:rsid w:val="00A0547B"/>
    <w:rsid w:val="00A05A08"/>
    <w:rsid w:val="00A06A4F"/>
    <w:rsid w:val="00A07232"/>
    <w:rsid w:val="00A1039F"/>
    <w:rsid w:val="00A108C9"/>
    <w:rsid w:val="00A118C7"/>
    <w:rsid w:val="00A12878"/>
    <w:rsid w:val="00A12B0C"/>
    <w:rsid w:val="00A130C9"/>
    <w:rsid w:val="00A14085"/>
    <w:rsid w:val="00A14AFB"/>
    <w:rsid w:val="00A14EC0"/>
    <w:rsid w:val="00A15034"/>
    <w:rsid w:val="00A16778"/>
    <w:rsid w:val="00A178E8"/>
    <w:rsid w:val="00A17999"/>
    <w:rsid w:val="00A20148"/>
    <w:rsid w:val="00A20DE1"/>
    <w:rsid w:val="00A21D91"/>
    <w:rsid w:val="00A22148"/>
    <w:rsid w:val="00A22614"/>
    <w:rsid w:val="00A24991"/>
    <w:rsid w:val="00A2543D"/>
    <w:rsid w:val="00A25DAF"/>
    <w:rsid w:val="00A25E6F"/>
    <w:rsid w:val="00A27A06"/>
    <w:rsid w:val="00A3038D"/>
    <w:rsid w:val="00A316AF"/>
    <w:rsid w:val="00A31EC9"/>
    <w:rsid w:val="00A32485"/>
    <w:rsid w:val="00A340E4"/>
    <w:rsid w:val="00A344A6"/>
    <w:rsid w:val="00A35138"/>
    <w:rsid w:val="00A3628C"/>
    <w:rsid w:val="00A362CB"/>
    <w:rsid w:val="00A37E95"/>
    <w:rsid w:val="00A40355"/>
    <w:rsid w:val="00A40C3B"/>
    <w:rsid w:val="00A41D74"/>
    <w:rsid w:val="00A43051"/>
    <w:rsid w:val="00A432A3"/>
    <w:rsid w:val="00A43F22"/>
    <w:rsid w:val="00A4430F"/>
    <w:rsid w:val="00A449DC"/>
    <w:rsid w:val="00A44EBB"/>
    <w:rsid w:val="00A45077"/>
    <w:rsid w:val="00A450B3"/>
    <w:rsid w:val="00A455ED"/>
    <w:rsid w:val="00A4591B"/>
    <w:rsid w:val="00A4654D"/>
    <w:rsid w:val="00A46667"/>
    <w:rsid w:val="00A46703"/>
    <w:rsid w:val="00A47404"/>
    <w:rsid w:val="00A50471"/>
    <w:rsid w:val="00A50A0E"/>
    <w:rsid w:val="00A51051"/>
    <w:rsid w:val="00A524C0"/>
    <w:rsid w:val="00A525A1"/>
    <w:rsid w:val="00A52971"/>
    <w:rsid w:val="00A52B4A"/>
    <w:rsid w:val="00A52EB4"/>
    <w:rsid w:val="00A534DD"/>
    <w:rsid w:val="00A5375C"/>
    <w:rsid w:val="00A539AC"/>
    <w:rsid w:val="00A53B4A"/>
    <w:rsid w:val="00A54039"/>
    <w:rsid w:val="00A55537"/>
    <w:rsid w:val="00A556A9"/>
    <w:rsid w:val="00A55C89"/>
    <w:rsid w:val="00A57038"/>
    <w:rsid w:val="00A602E4"/>
    <w:rsid w:val="00A608BB"/>
    <w:rsid w:val="00A60FC2"/>
    <w:rsid w:val="00A61F34"/>
    <w:rsid w:val="00A61FFA"/>
    <w:rsid w:val="00A620E5"/>
    <w:rsid w:val="00A6227E"/>
    <w:rsid w:val="00A62402"/>
    <w:rsid w:val="00A6269A"/>
    <w:rsid w:val="00A62E00"/>
    <w:rsid w:val="00A63D97"/>
    <w:rsid w:val="00A6444A"/>
    <w:rsid w:val="00A649BE"/>
    <w:rsid w:val="00A65BF8"/>
    <w:rsid w:val="00A65CB4"/>
    <w:rsid w:val="00A6617E"/>
    <w:rsid w:val="00A6651F"/>
    <w:rsid w:val="00A66550"/>
    <w:rsid w:val="00A6798F"/>
    <w:rsid w:val="00A70C1A"/>
    <w:rsid w:val="00A710AE"/>
    <w:rsid w:val="00A726E9"/>
    <w:rsid w:val="00A72EBF"/>
    <w:rsid w:val="00A732B2"/>
    <w:rsid w:val="00A746F8"/>
    <w:rsid w:val="00A751DB"/>
    <w:rsid w:val="00A75B2E"/>
    <w:rsid w:val="00A75BDE"/>
    <w:rsid w:val="00A76557"/>
    <w:rsid w:val="00A7655F"/>
    <w:rsid w:val="00A76F38"/>
    <w:rsid w:val="00A77BA5"/>
    <w:rsid w:val="00A77F06"/>
    <w:rsid w:val="00A813AD"/>
    <w:rsid w:val="00A814AC"/>
    <w:rsid w:val="00A81FCF"/>
    <w:rsid w:val="00A82C5B"/>
    <w:rsid w:val="00A82F6C"/>
    <w:rsid w:val="00A83D93"/>
    <w:rsid w:val="00A84D96"/>
    <w:rsid w:val="00A8507B"/>
    <w:rsid w:val="00A850ED"/>
    <w:rsid w:val="00A8524D"/>
    <w:rsid w:val="00A85985"/>
    <w:rsid w:val="00A86045"/>
    <w:rsid w:val="00A86CF1"/>
    <w:rsid w:val="00A86E89"/>
    <w:rsid w:val="00A87A08"/>
    <w:rsid w:val="00A87C34"/>
    <w:rsid w:val="00A87C39"/>
    <w:rsid w:val="00A87D8F"/>
    <w:rsid w:val="00A907DF"/>
    <w:rsid w:val="00A922E7"/>
    <w:rsid w:val="00A92D09"/>
    <w:rsid w:val="00A931E3"/>
    <w:rsid w:val="00A9392B"/>
    <w:rsid w:val="00A942BE"/>
    <w:rsid w:val="00A9433C"/>
    <w:rsid w:val="00A95E68"/>
    <w:rsid w:val="00AA0EC2"/>
    <w:rsid w:val="00AA2490"/>
    <w:rsid w:val="00AA2671"/>
    <w:rsid w:val="00AA274F"/>
    <w:rsid w:val="00AA2F76"/>
    <w:rsid w:val="00AA311B"/>
    <w:rsid w:val="00AA354C"/>
    <w:rsid w:val="00AA37E2"/>
    <w:rsid w:val="00AA4302"/>
    <w:rsid w:val="00AA44C6"/>
    <w:rsid w:val="00AA4555"/>
    <w:rsid w:val="00AA5307"/>
    <w:rsid w:val="00AA607F"/>
    <w:rsid w:val="00AA679F"/>
    <w:rsid w:val="00AA7431"/>
    <w:rsid w:val="00AA7636"/>
    <w:rsid w:val="00AB04E2"/>
    <w:rsid w:val="00AB085D"/>
    <w:rsid w:val="00AB093F"/>
    <w:rsid w:val="00AB1A7B"/>
    <w:rsid w:val="00AB33E7"/>
    <w:rsid w:val="00AB3AD2"/>
    <w:rsid w:val="00AB4476"/>
    <w:rsid w:val="00AB462E"/>
    <w:rsid w:val="00AB46C7"/>
    <w:rsid w:val="00AB4723"/>
    <w:rsid w:val="00AB4F06"/>
    <w:rsid w:val="00AB520E"/>
    <w:rsid w:val="00AB5C40"/>
    <w:rsid w:val="00AB64AF"/>
    <w:rsid w:val="00AB650F"/>
    <w:rsid w:val="00AB6C69"/>
    <w:rsid w:val="00AB7CE2"/>
    <w:rsid w:val="00AC0A53"/>
    <w:rsid w:val="00AC2DFE"/>
    <w:rsid w:val="00AC2ED1"/>
    <w:rsid w:val="00AC38E4"/>
    <w:rsid w:val="00AC4C4F"/>
    <w:rsid w:val="00AC5832"/>
    <w:rsid w:val="00AC7029"/>
    <w:rsid w:val="00AC79A6"/>
    <w:rsid w:val="00AC7D5B"/>
    <w:rsid w:val="00AD11FA"/>
    <w:rsid w:val="00AD27D7"/>
    <w:rsid w:val="00AD3DD0"/>
    <w:rsid w:val="00AD40A6"/>
    <w:rsid w:val="00AD468E"/>
    <w:rsid w:val="00AD4EE4"/>
    <w:rsid w:val="00AD54FF"/>
    <w:rsid w:val="00AE0602"/>
    <w:rsid w:val="00AE0B66"/>
    <w:rsid w:val="00AE0EBA"/>
    <w:rsid w:val="00AE1649"/>
    <w:rsid w:val="00AE18CA"/>
    <w:rsid w:val="00AE2B22"/>
    <w:rsid w:val="00AE3020"/>
    <w:rsid w:val="00AE3347"/>
    <w:rsid w:val="00AE337D"/>
    <w:rsid w:val="00AE5B3B"/>
    <w:rsid w:val="00AE6BD1"/>
    <w:rsid w:val="00AE72DE"/>
    <w:rsid w:val="00AE7548"/>
    <w:rsid w:val="00AE759B"/>
    <w:rsid w:val="00AE7E52"/>
    <w:rsid w:val="00AF0620"/>
    <w:rsid w:val="00AF0E34"/>
    <w:rsid w:val="00AF22A5"/>
    <w:rsid w:val="00AF2EDD"/>
    <w:rsid w:val="00AF3364"/>
    <w:rsid w:val="00AF364B"/>
    <w:rsid w:val="00AF46A6"/>
    <w:rsid w:val="00AF50C7"/>
    <w:rsid w:val="00AF5485"/>
    <w:rsid w:val="00AF54D8"/>
    <w:rsid w:val="00AF5D65"/>
    <w:rsid w:val="00AF6F73"/>
    <w:rsid w:val="00B00D49"/>
    <w:rsid w:val="00B00F9C"/>
    <w:rsid w:val="00B02D4B"/>
    <w:rsid w:val="00B031A1"/>
    <w:rsid w:val="00B038B3"/>
    <w:rsid w:val="00B03B63"/>
    <w:rsid w:val="00B0478A"/>
    <w:rsid w:val="00B04C03"/>
    <w:rsid w:val="00B050EF"/>
    <w:rsid w:val="00B102E0"/>
    <w:rsid w:val="00B102F3"/>
    <w:rsid w:val="00B10AC4"/>
    <w:rsid w:val="00B10CB9"/>
    <w:rsid w:val="00B127AE"/>
    <w:rsid w:val="00B12839"/>
    <w:rsid w:val="00B12E31"/>
    <w:rsid w:val="00B13E71"/>
    <w:rsid w:val="00B14FDA"/>
    <w:rsid w:val="00B163ED"/>
    <w:rsid w:val="00B17184"/>
    <w:rsid w:val="00B209B1"/>
    <w:rsid w:val="00B2133E"/>
    <w:rsid w:val="00B21FB4"/>
    <w:rsid w:val="00B21FE2"/>
    <w:rsid w:val="00B23EF1"/>
    <w:rsid w:val="00B2480B"/>
    <w:rsid w:val="00B25E53"/>
    <w:rsid w:val="00B25EEE"/>
    <w:rsid w:val="00B26036"/>
    <w:rsid w:val="00B262DF"/>
    <w:rsid w:val="00B27347"/>
    <w:rsid w:val="00B278B2"/>
    <w:rsid w:val="00B30016"/>
    <w:rsid w:val="00B30172"/>
    <w:rsid w:val="00B30608"/>
    <w:rsid w:val="00B30B91"/>
    <w:rsid w:val="00B30E97"/>
    <w:rsid w:val="00B30FF0"/>
    <w:rsid w:val="00B318F4"/>
    <w:rsid w:val="00B32493"/>
    <w:rsid w:val="00B32796"/>
    <w:rsid w:val="00B33AE7"/>
    <w:rsid w:val="00B342A7"/>
    <w:rsid w:val="00B345E1"/>
    <w:rsid w:val="00B3463D"/>
    <w:rsid w:val="00B351E0"/>
    <w:rsid w:val="00B35397"/>
    <w:rsid w:val="00B354B1"/>
    <w:rsid w:val="00B35666"/>
    <w:rsid w:val="00B357D3"/>
    <w:rsid w:val="00B369A3"/>
    <w:rsid w:val="00B369F7"/>
    <w:rsid w:val="00B3748C"/>
    <w:rsid w:val="00B37C03"/>
    <w:rsid w:val="00B406A3"/>
    <w:rsid w:val="00B40C50"/>
    <w:rsid w:val="00B41355"/>
    <w:rsid w:val="00B421E2"/>
    <w:rsid w:val="00B42AFC"/>
    <w:rsid w:val="00B42C4B"/>
    <w:rsid w:val="00B42FBD"/>
    <w:rsid w:val="00B431D7"/>
    <w:rsid w:val="00B43637"/>
    <w:rsid w:val="00B44A98"/>
    <w:rsid w:val="00B44FB4"/>
    <w:rsid w:val="00B46131"/>
    <w:rsid w:val="00B461B5"/>
    <w:rsid w:val="00B463E7"/>
    <w:rsid w:val="00B4648E"/>
    <w:rsid w:val="00B47156"/>
    <w:rsid w:val="00B472BC"/>
    <w:rsid w:val="00B4774B"/>
    <w:rsid w:val="00B50A7D"/>
    <w:rsid w:val="00B50BD4"/>
    <w:rsid w:val="00B51586"/>
    <w:rsid w:val="00B52B3D"/>
    <w:rsid w:val="00B53272"/>
    <w:rsid w:val="00B54DA0"/>
    <w:rsid w:val="00B54EBF"/>
    <w:rsid w:val="00B55636"/>
    <w:rsid w:val="00B57823"/>
    <w:rsid w:val="00B622D9"/>
    <w:rsid w:val="00B62D26"/>
    <w:rsid w:val="00B62FD7"/>
    <w:rsid w:val="00B63248"/>
    <w:rsid w:val="00B634BB"/>
    <w:rsid w:val="00B63CE2"/>
    <w:rsid w:val="00B63FEE"/>
    <w:rsid w:val="00B644C5"/>
    <w:rsid w:val="00B64647"/>
    <w:rsid w:val="00B64900"/>
    <w:rsid w:val="00B64B5F"/>
    <w:rsid w:val="00B65441"/>
    <w:rsid w:val="00B65B7F"/>
    <w:rsid w:val="00B65E76"/>
    <w:rsid w:val="00B67054"/>
    <w:rsid w:val="00B67A49"/>
    <w:rsid w:val="00B67D0D"/>
    <w:rsid w:val="00B70201"/>
    <w:rsid w:val="00B70640"/>
    <w:rsid w:val="00B71BB1"/>
    <w:rsid w:val="00B728E9"/>
    <w:rsid w:val="00B72CD1"/>
    <w:rsid w:val="00B7390C"/>
    <w:rsid w:val="00B742C0"/>
    <w:rsid w:val="00B7637B"/>
    <w:rsid w:val="00B76F7E"/>
    <w:rsid w:val="00B77521"/>
    <w:rsid w:val="00B77BB3"/>
    <w:rsid w:val="00B77F40"/>
    <w:rsid w:val="00B80168"/>
    <w:rsid w:val="00B80C38"/>
    <w:rsid w:val="00B80D4E"/>
    <w:rsid w:val="00B814E6"/>
    <w:rsid w:val="00B817B4"/>
    <w:rsid w:val="00B81E50"/>
    <w:rsid w:val="00B81EEC"/>
    <w:rsid w:val="00B830BA"/>
    <w:rsid w:val="00B837CA"/>
    <w:rsid w:val="00B83F07"/>
    <w:rsid w:val="00B845C6"/>
    <w:rsid w:val="00B84E0E"/>
    <w:rsid w:val="00B86F8B"/>
    <w:rsid w:val="00B87F9E"/>
    <w:rsid w:val="00B902E5"/>
    <w:rsid w:val="00B907BA"/>
    <w:rsid w:val="00B90DA3"/>
    <w:rsid w:val="00B919FD"/>
    <w:rsid w:val="00B91FA7"/>
    <w:rsid w:val="00B92047"/>
    <w:rsid w:val="00B927C1"/>
    <w:rsid w:val="00B92BBC"/>
    <w:rsid w:val="00B92DB4"/>
    <w:rsid w:val="00B94C36"/>
    <w:rsid w:val="00B95E43"/>
    <w:rsid w:val="00B967E6"/>
    <w:rsid w:val="00B970C6"/>
    <w:rsid w:val="00B97B58"/>
    <w:rsid w:val="00BA0713"/>
    <w:rsid w:val="00BA0BC3"/>
    <w:rsid w:val="00BA0C67"/>
    <w:rsid w:val="00BA13EE"/>
    <w:rsid w:val="00BA1E61"/>
    <w:rsid w:val="00BA2182"/>
    <w:rsid w:val="00BA31CD"/>
    <w:rsid w:val="00BA3291"/>
    <w:rsid w:val="00BA4232"/>
    <w:rsid w:val="00BA44A8"/>
    <w:rsid w:val="00BA4F02"/>
    <w:rsid w:val="00BA52E4"/>
    <w:rsid w:val="00BA5625"/>
    <w:rsid w:val="00BA572D"/>
    <w:rsid w:val="00BA5DF5"/>
    <w:rsid w:val="00BA66BC"/>
    <w:rsid w:val="00BA675E"/>
    <w:rsid w:val="00BA6AC6"/>
    <w:rsid w:val="00BA6AF4"/>
    <w:rsid w:val="00BA75EF"/>
    <w:rsid w:val="00BA7897"/>
    <w:rsid w:val="00BB04C0"/>
    <w:rsid w:val="00BB10BB"/>
    <w:rsid w:val="00BB1288"/>
    <w:rsid w:val="00BB1358"/>
    <w:rsid w:val="00BB148E"/>
    <w:rsid w:val="00BB3132"/>
    <w:rsid w:val="00BB4A0F"/>
    <w:rsid w:val="00BB537B"/>
    <w:rsid w:val="00BB5807"/>
    <w:rsid w:val="00BB62CE"/>
    <w:rsid w:val="00BB6E3F"/>
    <w:rsid w:val="00BB7A48"/>
    <w:rsid w:val="00BB7E7D"/>
    <w:rsid w:val="00BB7F36"/>
    <w:rsid w:val="00BC1287"/>
    <w:rsid w:val="00BC172D"/>
    <w:rsid w:val="00BC1BB8"/>
    <w:rsid w:val="00BC222D"/>
    <w:rsid w:val="00BC2D55"/>
    <w:rsid w:val="00BC38FB"/>
    <w:rsid w:val="00BC459B"/>
    <w:rsid w:val="00BC4B7F"/>
    <w:rsid w:val="00BC4ED9"/>
    <w:rsid w:val="00BC525D"/>
    <w:rsid w:val="00BC56E6"/>
    <w:rsid w:val="00BC618D"/>
    <w:rsid w:val="00BC62BA"/>
    <w:rsid w:val="00BC6AB3"/>
    <w:rsid w:val="00BC7AD0"/>
    <w:rsid w:val="00BD0901"/>
    <w:rsid w:val="00BD0F7A"/>
    <w:rsid w:val="00BD0FEC"/>
    <w:rsid w:val="00BD1312"/>
    <w:rsid w:val="00BD1A58"/>
    <w:rsid w:val="00BD3D73"/>
    <w:rsid w:val="00BD4254"/>
    <w:rsid w:val="00BD49A7"/>
    <w:rsid w:val="00BD559A"/>
    <w:rsid w:val="00BD5EDA"/>
    <w:rsid w:val="00BD6687"/>
    <w:rsid w:val="00BD7025"/>
    <w:rsid w:val="00BD7A08"/>
    <w:rsid w:val="00BE0F88"/>
    <w:rsid w:val="00BE1826"/>
    <w:rsid w:val="00BE1848"/>
    <w:rsid w:val="00BE2825"/>
    <w:rsid w:val="00BE2BAA"/>
    <w:rsid w:val="00BE30B4"/>
    <w:rsid w:val="00BE4129"/>
    <w:rsid w:val="00BE44DC"/>
    <w:rsid w:val="00BE548F"/>
    <w:rsid w:val="00BE5675"/>
    <w:rsid w:val="00BE5B28"/>
    <w:rsid w:val="00BE610E"/>
    <w:rsid w:val="00BE66CE"/>
    <w:rsid w:val="00BE6A1D"/>
    <w:rsid w:val="00BE6A62"/>
    <w:rsid w:val="00BE6C56"/>
    <w:rsid w:val="00BE7E34"/>
    <w:rsid w:val="00BF0950"/>
    <w:rsid w:val="00BF0C11"/>
    <w:rsid w:val="00BF1227"/>
    <w:rsid w:val="00BF127A"/>
    <w:rsid w:val="00BF1427"/>
    <w:rsid w:val="00BF1569"/>
    <w:rsid w:val="00BF2096"/>
    <w:rsid w:val="00BF258F"/>
    <w:rsid w:val="00BF311D"/>
    <w:rsid w:val="00BF3497"/>
    <w:rsid w:val="00BF3AE8"/>
    <w:rsid w:val="00BF485E"/>
    <w:rsid w:val="00BF48F4"/>
    <w:rsid w:val="00BF49AA"/>
    <w:rsid w:val="00BF4EDF"/>
    <w:rsid w:val="00BF5EAD"/>
    <w:rsid w:val="00BF626A"/>
    <w:rsid w:val="00BF68C7"/>
    <w:rsid w:val="00BF6D89"/>
    <w:rsid w:val="00BF6E03"/>
    <w:rsid w:val="00BF7284"/>
    <w:rsid w:val="00BF787A"/>
    <w:rsid w:val="00BF7B92"/>
    <w:rsid w:val="00BF7BA4"/>
    <w:rsid w:val="00BF7D46"/>
    <w:rsid w:val="00BF7EF6"/>
    <w:rsid w:val="00C019AB"/>
    <w:rsid w:val="00C01B69"/>
    <w:rsid w:val="00C02047"/>
    <w:rsid w:val="00C0260C"/>
    <w:rsid w:val="00C0262D"/>
    <w:rsid w:val="00C02A3C"/>
    <w:rsid w:val="00C03007"/>
    <w:rsid w:val="00C030D1"/>
    <w:rsid w:val="00C034D4"/>
    <w:rsid w:val="00C0354C"/>
    <w:rsid w:val="00C03933"/>
    <w:rsid w:val="00C03B7B"/>
    <w:rsid w:val="00C04A07"/>
    <w:rsid w:val="00C04F1B"/>
    <w:rsid w:val="00C050A8"/>
    <w:rsid w:val="00C05AA4"/>
    <w:rsid w:val="00C05BA5"/>
    <w:rsid w:val="00C05BB2"/>
    <w:rsid w:val="00C060B3"/>
    <w:rsid w:val="00C075AF"/>
    <w:rsid w:val="00C07750"/>
    <w:rsid w:val="00C10217"/>
    <w:rsid w:val="00C10561"/>
    <w:rsid w:val="00C108C6"/>
    <w:rsid w:val="00C1314D"/>
    <w:rsid w:val="00C143F2"/>
    <w:rsid w:val="00C14761"/>
    <w:rsid w:val="00C15134"/>
    <w:rsid w:val="00C151D5"/>
    <w:rsid w:val="00C1537C"/>
    <w:rsid w:val="00C162F0"/>
    <w:rsid w:val="00C164DA"/>
    <w:rsid w:val="00C204B6"/>
    <w:rsid w:val="00C20616"/>
    <w:rsid w:val="00C209E8"/>
    <w:rsid w:val="00C20C22"/>
    <w:rsid w:val="00C2127A"/>
    <w:rsid w:val="00C222BA"/>
    <w:rsid w:val="00C23653"/>
    <w:rsid w:val="00C237EE"/>
    <w:rsid w:val="00C23CF1"/>
    <w:rsid w:val="00C23E1D"/>
    <w:rsid w:val="00C248F6"/>
    <w:rsid w:val="00C24922"/>
    <w:rsid w:val="00C24A28"/>
    <w:rsid w:val="00C24A84"/>
    <w:rsid w:val="00C24AAA"/>
    <w:rsid w:val="00C25190"/>
    <w:rsid w:val="00C252A4"/>
    <w:rsid w:val="00C252FA"/>
    <w:rsid w:val="00C27002"/>
    <w:rsid w:val="00C2727E"/>
    <w:rsid w:val="00C27404"/>
    <w:rsid w:val="00C300D2"/>
    <w:rsid w:val="00C306D9"/>
    <w:rsid w:val="00C327F8"/>
    <w:rsid w:val="00C3307F"/>
    <w:rsid w:val="00C3411F"/>
    <w:rsid w:val="00C35063"/>
    <w:rsid w:val="00C3507F"/>
    <w:rsid w:val="00C35614"/>
    <w:rsid w:val="00C36570"/>
    <w:rsid w:val="00C366F0"/>
    <w:rsid w:val="00C368C1"/>
    <w:rsid w:val="00C36AEE"/>
    <w:rsid w:val="00C36B34"/>
    <w:rsid w:val="00C377A4"/>
    <w:rsid w:val="00C37DF0"/>
    <w:rsid w:val="00C37FE4"/>
    <w:rsid w:val="00C40D70"/>
    <w:rsid w:val="00C42ED7"/>
    <w:rsid w:val="00C45722"/>
    <w:rsid w:val="00C45968"/>
    <w:rsid w:val="00C45B7C"/>
    <w:rsid w:val="00C45D4E"/>
    <w:rsid w:val="00C46619"/>
    <w:rsid w:val="00C46658"/>
    <w:rsid w:val="00C470C2"/>
    <w:rsid w:val="00C5056F"/>
    <w:rsid w:val="00C50889"/>
    <w:rsid w:val="00C50D08"/>
    <w:rsid w:val="00C511F8"/>
    <w:rsid w:val="00C5198B"/>
    <w:rsid w:val="00C531FA"/>
    <w:rsid w:val="00C5323E"/>
    <w:rsid w:val="00C544F6"/>
    <w:rsid w:val="00C54715"/>
    <w:rsid w:val="00C56597"/>
    <w:rsid w:val="00C56C92"/>
    <w:rsid w:val="00C60463"/>
    <w:rsid w:val="00C6191B"/>
    <w:rsid w:val="00C62B09"/>
    <w:rsid w:val="00C638E8"/>
    <w:rsid w:val="00C639DA"/>
    <w:rsid w:val="00C63DB0"/>
    <w:rsid w:val="00C64A01"/>
    <w:rsid w:val="00C65212"/>
    <w:rsid w:val="00C66501"/>
    <w:rsid w:val="00C66B32"/>
    <w:rsid w:val="00C679B7"/>
    <w:rsid w:val="00C7038F"/>
    <w:rsid w:val="00C70B55"/>
    <w:rsid w:val="00C70C2F"/>
    <w:rsid w:val="00C713CF"/>
    <w:rsid w:val="00C71D6A"/>
    <w:rsid w:val="00C71F65"/>
    <w:rsid w:val="00C72571"/>
    <w:rsid w:val="00C728FA"/>
    <w:rsid w:val="00C72956"/>
    <w:rsid w:val="00C72A2C"/>
    <w:rsid w:val="00C73737"/>
    <w:rsid w:val="00C7441E"/>
    <w:rsid w:val="00C74A64"/>
    <w:rsid w:val="00C75466"/>
    <w:rsid w:val="00C754ED"/>
    <w:rsid w:val="00C75C3C"/>
    <w:rsid w:val="00C762DA"/>
    <w:rsid w:val="00C7634C"/>
    <w:rsid w:val="00C768C3"/>
    <w:rsid w:val="00C76AB0"/>
    <w:rsid w:val="00C76F6E"/>
    <w:rsid w:val="00C772F5"/>
    <w:rsid w:val="00C7738C"/>
    <w:rsid w:val="00C77B93"/>
    <w:rsid w:val="00C80C26"/>
    <w:rsid w:val="00C80F7E"/>
    <w:rsid w:val="00C80FB2"/>
    <w:rsid w:val="00C8332E"/>
    <w:rsid w:val="00C838B9"/>
    <w:rsid w:val="00C83E31"/>
    <w:rsid w:val="00C843B8"/>
    <w:rsid w:val="00C85B6A"/>
    <w:rsid w:val="00C86350"/>
    <w:rsid w:val="00C863DC"/>
    <w:rsid w:val="00C8773C"/>
    <w:rsid w:val="00C878A9"/>
    <w:rsid w:val="00C9285B"/>
    <w:rsid w:val="00C92EC0"/>
    <w:rsid w:val="00C92F51"/>
    <w:rsid w:val="00C92FAE"/>
    <w:rsid w:val="00C9374E"/>
    <w:rsid w:val="00C93ED9"/>
    <w:rsid w:val="00C9470F"/>
    <w:rsid w:val="00C94F25"/>
    <w:rsid w:val="00C9547E"/>
    <w:rsid w:val="00C95573"/>
    <w:rsid w:val="00C955D0"/>
    <w:rsid w:val="00C95BAF"/>
    <w:rsid w:val="00C96194"/>
    <w:rsid w:val="00C96ABB"/>
    <w:rsid w:val="00C96F74"/>
    <w:rsid w:val="00C971BD"/>
    <w:rsid w:val="00C97791"/>
    <w:rsid w:val="00C97ABC"/>
    <w:rsid w:val="00C97D9A"/>
    <w:rsid w:val="00CA01B9"/>
    <w:rsid w:val="00CA0D0D"/>
    <w:rsid w:val="00CA124F"/>
    <w:rsid w:val="00CA13E1"/>
    <w:rsid w:val="00CA2506"/>
    <w:rsid w:val="00CA295C"/>
    <w:rsid w:val="00CA314A"/>
    <w:rsid w:val="00CA31CF"/>
    <w:rsid w:val="00CA3346"/>
    <w:rsid w:val="00CA3D93"/>
    <w:rsid w:val="00CA3FA8"/>
    <w:rsid w:val="00CA412D"/>
    <w:rsid w:val="00CA4A9F"/>
    <w:rsid w:val="00CA4D2A"/>
    <w:rsid w:val="00CA514F"/>
    <w:rsid w:val="00CA5492"/>
    <w:rsid w:val="00CA5FB4"/>
    <w:rsid w:val="00CA61DA"/>
    <w:rsid w:val="00CA714B"/>
    <w:rsid w:val="00CA7C83"/>
    <w:rsid w:val="00CA7C9A"/>
    <w:rsid w:val="00CB0E99"/>
    <w:rsid w:val="00CB185C"/>
    <w:rsid w:val="00CB18CC"/>
    <w:rsid w:val="00CB1B83"/>
    <w:rsid w:val="00CB1BD0"/>
    <w:rsid w:val="00CB1BD1"/>
    <w:rsid w:val="00CB1D37"/>
    <w:rsid w:val="00CB2B3B"/>
    <w:rsid w:val="00CB3F89"/>
    <w:rsid w:val="00CB4E75"/>
    <w:rsid w:val="00CB5D4A"/>
    <w:rsid w:val="00CB5E73"/>
    <w:rsid w:val="00CB611F"/>
    <w:rsid w:val="00CC05D9"/>
    <w:rsid w:val="00CC1CE4"/>
    <w:rsid w:val="00CC380B"/>
    <w:rsid w:val="00CC3CE8"/>
    <w:rsid w:val="00CC53A3"/>
    <w:rsid w:val="00CC53C6"/>
    <w:rsid w:val="00CC61FB"/>
    <w:rsid w:val="00CC770E"/>
    <w:rsid w:val="00CC79D3"/>
    <w:rsid w:val="00CD0310"/>
    <w:rsid w:val="00CD05D2"/>
    <w:rsid w:val="00CD09D1"/>
    <w:rsid w:val="00CD0BBA"/>
    <w:rsid w:val="00CD0C12"/>
    <w:rsid w:val="00CD11C4"/>
    <w:rsid w:val="00CD12FA"/>
    <w:rsid w:val="00CD15BD"/>
    <w:rsid w:val="00CD1705"/>
    <w:rsid w:val="00CD1D28"/>
    <w:rsid w:val="00CD219F"/>
    <w:rsid w:val="00CD2485"/>
    <w:rsid w:val="00CD31EF"/>
    <w:rsid w:val="00CD41A1"/>
    <w:rsid w:val="00CD4778"/>
    <w:rsid w:val="00CD4D59"/>
    <w:rsid w:val="00CD6356"/>
    <w:rsid w:val="00CD6B5B"/>
    <w:rsid w:val="00CD798B"/>
    <w:rsid w:val="00CD7DFD"/>
    <w:rsid w:val="00CE0A59"/>
    <w:rsid w:val="00CE1D27"/>
    <w:rsid w:val="00CE1D52"/>
    <w:rsid w:val="00CE2B83"/>
    <w:rsid w:val="00CE2EEB"/>
    <w:rsid w:val="00CE36CE"/>
    <w:rsid w:val="00CE36EA"/>
    <w:rsid w:val="00CE472F"/>
    <w:rsid w:val="00CE487F"/>
    <w:rsid w:val="00CE51E5"/>
    <w:rsid w:val="00CE57D1"/>
    <w:rsid w:val="00CE61E8"/>
    <w:rsid w:val="00CE7EFE"/>
    <w:rsid w:val="00CE7F82"/>
    <w:rsid w:val="00CF0103"/>
    <w:rsid w:val="00CF013C"/>
    <w:rsid w:val="00CF01DA"/>
    <w:rsid w:val="00CF0C37"/>
    <w:rsid w:val="00CF0EC4"/>
    <w:rsid w:val="00CF0FC7"/>
    <w:rsid w:val="00CF1506"/>
    <w:rsid w:val="00CF1735"/>
    <w:rsid w:val="00CF18C2"/>
    <w:rsid w:val="00CF1C3B"/>
    <w:rsid w:val="00CF1C59"/>
    <w:rsid w:val="00CF1F21"/>
    <w:rsid w:val="00CF22BE"/>
    <w:rsid w:val="00CF2B02"/>
    <w:rsid w:val="00CF2BA9"/>
    <w:rsid w:val="00CF3013"/>
    <w:rsid w:val="00CF3433"/>
    <w:rsid w:val="00CF367C"/>
    <w:rsid w:val="00CF463B"/>
    <w:rsid w:val="00CF4B4A"/>
    <w:rsid w:val="00CF4C12"/>
    <w:rsid w:val="00CF4DF2"/>
    <w:rsid w:val="00CF567A"/>
    <w:rsid w:val="00CF6420"/>
    <w:rsid w:val="00CF6A65"/>
    <w:rsid w:val="00CF6EE1"/>
    <w:rsid w:val="00CF7224"/>
    <w:rsid w:val="00CF7B41"/>
    <w:rsid w:val="00CF7EA2"/>
    <w:rsid w:val="00D00B44"/>
    <w:rsid w:val="00D00D61"/>
    <w:rsid w:val="00D011CC"/>
    <w:rsid w:val="00D013A5"/>
    <w:rsid w:val="00D01427"/>
    <w:rsid w:val="00D0183B"/>
    <w:rsid w:val="00D018F1"/>
    <w:rsid w:val="00D01B58"/>
    <w:rsid w:val="00D02466"/>
    <w:rsid w:val="00D02649"/>
    <w:rsid w:val="00D04C96"/>
    <w:rsid w:val="00D0599A"/>
    <w:rsid w:val="00D05DD4"/>
    <w:rsid w:val="00D05F82"/>
    <w:rsid w:val="00D06BFD"/>
    <w:rsid w:val="00D06F34"/>
    <w:rsid w:val="00D10807"/>
    <w:rsid w:val="00D10B9D"/>
    <w:rsid w:val="00D116A0"/>
    <w:rsid w:val="00D118D8"/>
    <w:rsid w:val="00D11D2A"/>
    <w:rsid w:val="00D11F87"/>
    <w:rsid w:val="00D12464"/>
    <w:rsid w:val="00D1260F"/>
    <w:rsid w:val="00D13FE4"/>
    <w:rsid w:val="00D14BC8"/>
    <w:rsid w:val="00D15243"/>
    <w:rsid w:val="00D15FE3"/>
    <w:rsid w:val="00D16C48"/>
    <w:rsid w:val="00D16DD5"/>
    <w:rsid w:val="00D17EF3"/>
    <w:rsid w:val="00D20558"/>
    <w:rsid w:val="00D2069F"/>
    <w:rsid w:val="00D207D4"/>
    <w:rsid w:val="00D20D15"/>
    <w:rsid w:val="00D2204C"/>
    <w:rsid w:val="00D227C4"/>
    <w:rsid w:val="00D22899"/>
    <w:rsid w:val="00D228DA"/>
    <w:rsid w:val="00D23217"/>
    <w:rsid w:val="00D23BD6"/>
    <w:rsid w:val="00D23C2C"/>
    <w:rsid w:val="00D23CA0"/>
    <w:rsid w:val="00D23DFD"/>
    <w:rsid w:val="00D2527C"/>
    <w:rsid w:val="00D2558B"/>
    <w:rsid w:val="00D27BBD"/>
    <w:rsid w:val="00D306C9"/>
    <w:rsid w:val="00D31215"/>
    <w:rsid w:val="00D3176E"/>
    <w:rsid w:val="00D324D0"/>
    <w:rsid w:val="00D32C3C"/>
    <w:rsid w:val="00D341B7"/>
    <w:rsid w:val="00D34CD6"/>
    <w:rsid w:val="00D3746B"/>
    <w:rsid w:val="00D3785F"/>
    <w:rsid w:val="00D40577"/>
    <w:rsid w:val="00D408C8"/>
    <w:rsid w:val="00D408FD"/>
    <w:rsid w:val="00D409B1"/>
    <w:rsid w:val="00D41362"/>
    <w:rsid w:val="00D4178A"/>
    <w:rsid w:val="00D42117"/>
    <w:rsid w:val="00D42C66"/>
    <w:rsid w:val="00D43588"/>
    <w:rsid w:val="00D43CE0"/>
    <w:rsid w:val="00D445FF"/>
    <w:rsid w:val="00D44697"/>
    <w:rsid w:val="00D45071"/>
    <w:rsid w:val="00D46126"/>
    <w:rsid w:val="00D50714"/>
    <w:rsid w:val="00D510EE"/>
    <w:rsid w:val="00D511B7"/>
    <w:rsid w:val="00D51857"/>
    <w:rsid w:val="00D527E6"/>
    <w:rsid w:val="00D531D7"/>
    <w:rsid w:val="00D531F0"/>
    <w:rsid w:val="00D53448"/>
    <w:rsid w:val="00D53BD8"/>
    <w:rsid w:val="00D53F59"/>
    <w:rsid w:val="00D557C9"/>
    <w:rsid w:val="00D561DD"/>
    <w:rsid w:val="00D567C4"/>
    <w:rsid w:val="00D56815"/>
    <w:rsid w:val="00D56E85"/>
    <w:rsid w:val="00D578CB"/>
    <w:rsid w:val="00D60177"/>
    <w:rsid w:val="00D60878"/>
    <w:rsid w:val="00D60B51"/>
    <w:rsid w:val="00D63968"/>
    <w:rsid w:val="00D63D42"/>
    <w:rsid w:val="00D640C0"/>
    <w:rsid w:val="00D640FA"/>
    <w:rsid w:val="00D641DF"/>
    <w:rsid w:val="00D647CD"/>
    <w:rsid w:val="00D658B7"/>
    <w:rsid w:val="00D65A32"/>
    <w:rsid w:val="00D65CEB"/>
    <w:rsid w:val="00D66D17"/>
    <w:rsid w:val="00D6787B"/>
    <w:rsid w:val="00D703E3"/>
    <w:rsid w:val="00D704D9"/>
    <w:rsid w:val="00D706A6"/>
    <w:rsid w:val="00D7072F"/>
    <w:rsid w:val="00D7094C"/>
    <w:rsid w:val="00D70C31"/>
    <w:rsid w:val="00D721F9"/>
    <w:rsid w:val="00D726D7"/>
    <w:rsid w:val="00D72B0A"/>
    <w:rsid w:val="00D73080"/>
    <w:rsid w:val="00D7348C"/>
    <w:rsid w:val="00D73D67"/>
    <w:rsid w:val="00D74A79"/>
    <w:rsid w:val="00D74F00"/>
    <w:rsid w:val="00D74F0E"/>
    <w:rsid w:val="00D75107"/>
    <w:rsid w:val="00D7642E"/>
    <w:rsid w:val="00D77329"/>
    <w:rsid w:val="00D8157E"/>
    <w:rsid w:val="00D82297"/>
    <w:rsid w:val="00D828BB"/>
    <w:rsid w:val="00D82EAC"/>
    <w:rsid w:val="00D835D4"/>
    <w:rsid w:val="00D862AA"/>
    <w:rsid w:val="00D86AE7"/>
    <w:rsid w:val="00D87923"/>
    <w:rsid w:val="00D90173"/>
    <w:rsid w:val="00D9077D"/>
    <w:rsid w:val="00D90E7D"/>
    <w:rsid w:val="00D91A05"/>
    <w:rsid w:val="00D91C2A"/>
    <w:rsid w:val="00D94418"/>
    <w:rsid w:val="00D94BE5"/>
    <w:rsid w:val="00D95389"/>
    <w:rsid w:val="00D9540E"/>
    <w:rsid w:val="00D9541F"/>
    <w:rsid w:val="00D9605A"/>
    <w:rsid w:val="00D96E6C"/>
    <w:rsid w:val="00D974D2"/>
    <w:rsid w:val="00D979B6"/>
    <w:rsid w:val="00D97DA8"/>
    <w:rsid w:val="00DA03AA"/>
    <w:rsid w:val="00DA0D62"/>
    <w:rsid w:val="00DA0F73"/>
    <w:rsid w:val="00DA105E"/>
    <w:rsid w:val="00DA1329"/>
    <w:rsid w:val="00DA188F"/>
    <w:rsid w:val="00DA18FA"/>
    <w:rsid w:val="00DA2498"/>
    <w:rsid w:val="00DA33E6"/>
    <w:rsid w:val="00DA42FB"/>
    <w:rsid w:val="00DA4603"/>
    <w:rsid w:val="00DA58CE"/>
    <w:rsid w:val="00DA6B64"/>
    <w:rsid w:val="00DA6E80"/>
    <w:rsid w:val="00DA6F50"/>
    <w:rsid w:val="00DA71D9"/>
    <w:rsid w:val="00DB0660"/>
    <w:rsid w:val="00DB0827"/>
    <w:rsid w:val="00DB0DAF"/>
    <w:rsid w:val="00DB157F"/>
    <w:rsid w:val="00DB25E9"/>
    <w:rsid w:val="00DB3635"/>
    <w:rsid w:val="00DB38A8"/>
    <w:rsid w:val="00DB4B46"/>
    <w:rsid w:val="00DB4BE1"/>
    <w:rsid w:val="00DB5FDF"/>
    <w:rsid w:val="00DB6573"/>
    <w:rsid w:val="00DB71CF"/>
    <w:rsid w:val="00DB79A2"/>
    <w:rsid w:val="00DC121A"/>
    <w:rsid w:val="00DC13D0"/>
    <w:rsid w:val="00DC193B"/>
    <w:rsid w:val="00DC3702"/>
    <w:rsid w:val="00DC382F"/>
    <w:rsid w:val="00DC4DCE"/>
    <w:rsid w:val="00DC5111"/>
    <w:rsid w:val="00DC5A68"/>
    <w:rsid w:val="00DC5AC9"/>
    <w:rsid w:val="00DC5DD6"/>
    <w:rsid w:val="00DC6023"/>
    <w:rsid w:val="00DC6415"/>
    <w:rsid w:val="00DC67C7"/>
    <w:rsid w:val="00DC684C"/>
    <w:rsid w:val="00DC68F9"/>
    <w:rsid w:val="00DC6E6B"/>
    <w:rsid w:val="00DC6E81"/>
    <w:rsid w:val="00DC7891"/>
    <w:rsid w:val="00DD01F1"/>
    <w:rsid w:val="00DD0328"/>
    <w:rsid w:val="00DD10DD"/>
    <w:rsid w:val="00DD3A2C"/>
    <w:rsid w:val="00DD49D9"/>
    <w:rsid w:val="00DD57C5"/>
    <w:rsid w:val="00DD5AB8"/>
    <w:rsid w:val="00DD739C"/>
    <w:rsid w:val="00DD7C6E"/>
    <w:rsid w:val="00DE02BF"/>
    <w:rsid w:val="00DE0526"/>
    <w:rsid w:val="00DE0762"/>
    <w:rsid w:val="00DE1AC6"/>
    <w:rsid w:val="00DE1C01"/>
    <w:rsid w:val="00DE1D59"/>
    <w:rsid w:val="00DE1DA3"/>
    <w:rsid w:val="00DE27CC"/>
    <w:rsid w:val="00DE3721"/>
    <w:rsid w:val="00DE4197"/>
    <w:rsid w:val="00DE456D"/>
    <w:rsid w:val="00DE4835"/>
    <w:rsid w:val="00DE64F6"/>
    <w:rsid w:val="00DE6588"/>
    <w:rsid w:val="00DE69A4"/>
    <w:rsid w:val="00DE6E63"/>
    <w:rsid w:val="00DE715B"/>
    <w:rsid w:val="00DE72EF"/>
    <w:rsid w:val="00DE760B"/>
    <w:rsid w:val="00DE7D41"/>
    <w:rsid w:val="00DF07ED"/>
    <w:rsid w:val="00DF0A45"/>
    <w:rsid w:val="00DF0BB1"/>
    <w:rsid w:val="00DF1C2C"/>
    <w:rsid w:val="00DF2071"/>
    <w:rsid w:val="00DF2167"/>
    <w:rsid w:val="00DF21D4"/>
    <w:rsid w:val="00DF23CE"/>
    <w:rsid w:val="00DF2B57"/>
    <w:rsid w:val="00DF2C14"/>
    <w:rsid w:val="00DF3774"/>
    <w:rsid w:val="00DF42CD"/>
    <w:rsid w:val="00DF4669"/>
    <w:rsid w:val="00DF4CC4"/>
    <w:rsid w:val="00DF6892"/>
    <w:rsid w:val="00E01FDD"/>
    <w:rsid w:val="00E02951"/>
    <w:rsid w:val="00E0324C"/>
    <w:rsid w:val="00E0429B"/>
    <w:rsid w:val="00E04D5A"/>
    <w:rsid w:val="00E04DC9"/>
    <w:rsid w:val="00E06504"/>
    <w:rsid w:val="00E065C4"/>
    <w:rsid w:val="00E06BEA"/>
    <w:rsid w:val="00E06E6B"/>
    <w:rsid w:val="00E07555"/>
    <w:rsid w:val="00E07C87"/>
    <w:rsid w:val="00E07DBA"/>
    <w:rsid w:val="00E07FD3"/>
    <w:rsid w:val="00E10A76"/>
    <w:rsid w:val="00E10BF5"/>
    <w:rsid w:val="00E11450"/>
    <w:rsid w:val="00E12BB4"/>
    <w:rsid w:val="00E13A26"/>
    <w:rsid w:val="00E13B96"/>
    <w:rsid w:val="00E13F2C"/>
    <w:rsid w:val="00E14466"/>
    <w:rsid w:val="00E1502C"/>
    <w:rsid w:val="00E167FB"/>
    <w:rsid w:val="00E173C9"/>
    <w:rsid w:val="00E1743C"/>
    <w:rsid w:val="00E174E4"/>
    <w:rsid w:val="00E17990"/>
    <w:rsid w:val="00E202F2"/>
    <w:rsid w:val="00E206BB"/>
    <w:rsid w:val="00E21050"/>
    <w:rsid w:val="00E214D0"/>
    <w:rsid w:val="00E2194F"/>
    <w:rsid w:val="00E21B52"/>
    <w:rsid w:val="00E21C24"/>
    <w:rsid w:val="00E22346"/>
    <w:rsid w:val="00E229C7"/>
    <w:rsid w:val="00E23089"/>
    <w:rsid w:val="00E23156"/>
    <w:rsid w:val="00E24E59"/>
    <w:rsid w:val="00E25328"/>
    <w:rsid w:val="00E255DA"/>
    <w:rsid w:val="00E2564C"/>
    <w:rsid w:val="00E256E0"/>
    <w:rsid w:val="00E259A7"/>
    <w:rsid w:val="00E26264"/>
    <w:rsid w:val="00E26812"/>
    <w:rsid w:val="00E27AD1"/>
    <w:rsid w:val="00E304B7"/>
    <w:rsid w:val="00E30ACF"/>
    <w:rsid w:val="00E30EFE"/>
    <w:rsid w:val="00E32396"/>
    <w:rsid w:val="00E33B04"/>
    <w:rsid w:val="00E34143"/>
    <w:rsid w:val="00E342DC"/>
    <w:rsid w:val="00E344A3"/>
    <w:rsid w:val="00E34CF0"/>
    <w:rsid w:val="00E36851"/>
    <w:rsid w:val="00E36DFD"/>
    <w:rsid w:val="00E3717D"/>
    <w:rsid w:val="00E37602"/>
    <w:rsid w:val="00E378E8"/>
    <w:rsid w:val="00E37C5A"/>
    <w:rsid w:val="00E37EFE"/>
    <w:rsid w:val="00E40F4B"/>
    <w:rsid w:val="00E412FC"/>
    <w:rsid w:val="00E41938"/>
    <w:rsid w:val="00E4285D"/>
    <w:rsid w:val="00E42A1E"/>
    <w:rsid w:val="00E43A2F"/>
    <w:rsid w:val="00E4426F"/>
    <w:rsid w:val="00E447D6"/>
    <w:rsid w:val="00E44861"/>
    <w:rsid w:val="00E4575D"/>
    <w:rsid w:val="00E46468"/>
    <w:rsid w:val="00E46F90"/>
    <w:rsid w:val="00E477E5"/>
    <w:rsid w:val="00E47EF0"/>
    <w:rsid w:val="00E51C61"/>
    <w:rsid w:val="00E538BD"/>
    <w:rsid w:val="00E5390F"/>
    <w:rsid w:val="00E53F7E"/>
    <w:rsid w:val="00E5426B"/>
    <w:rsid w:val="00E549BA"/>
    <w:rsid w:val="00E54B5B"/>
    <w:rsid w:val="00E570BC"/>
    <w:rsid w:val="00E574C8"/>
    <w:rsid w:val="00E57512"/>
    <w:rsid w:val="00E575C4"/>
    <w:rsid w:val="00E60722"/>
    <w:rsid w:val="00E60918"/>
    <w:rsid w:val="00E60F69"/>
    <w:rsid w:val="00E60FCB"/>
    <w:rsid w:val="00E63246"/>
    <w:rsid w:val="00E636A9"/>
    <w:rsid w:val="00E63817"/>
    <w:rsid w:val="00E638D3"/>
    <w:rsid w:val="00E63B3C"/>
    <w:rsid w:val="00E63D76"/>
    <w:rsid w:val="00E642CB"/>
    <w:rsid w:val="00E64CB1"/>
    <w:rsid w:val="00E64F89"/>
    <w:rsid w:val="00E65F9D"/>
    <w:rsid w:val="00E6610E"/>
    <w:rsid w:val="00E663D3"/>
    <w:rsid w:val="00E665E3"/>
    <w:rsid w:val="00E70482"/>
    <w:rsid w:val="00E71A6E"/>
    <w:rsid w:val="00E71EA2"/>
    <w:rsid w:val="00E72307"/>
    <w:rsid w:val="00E72446"/>
    <w:rsid w:val="00E725A0"/>
    <w:rsid w:val="00E72B63"/>
    <w:rsid w:val="00E73432"/>
    <w:rsid w:val="00E7360E"/>
    <w:rsid w:val="00E736EB"/>
    <w:rsid w:val="00E736EE"/>
    <w:rsid w:val="00E739AC"/>
    <w:rsid w:val="00E73AD8"/>
    <w:rsid w:val="00E73C40"/>
    <w:rsid w:val="00E73C72"/>
    <w:rsid w:val="00E73EBF"/>
    <w:rsid w:val="00E742BC"/>
    <w:rsid w:val="00E743D6"/>
    <w:rsid w:val="00E7491E"/>
    <w:rsid w:val="00E74C81"/>
    <w:rsid w:val="00E752D2"/>
    <w:rsid w:val="00E7564F"/>
    <w:rsid w:val="00E757F6"/>
    <w:rsid w:val="00E769DB"/>
    <w:rsid w:val="00E76F56"/>
    <w:rsid w:val="00E76F79"/>
    <w:rsid w:val="00E77788"/>
    <w:rsid w:val="00E80499"/>
    <w:rsid w:val="00E81218"/>
    <w:rsid w:val="00E816F8"/>
    <w:rsid w:val="00E8180D"/>
    <w:rsid w:val="00E81CDF"/>
    <w:rsid w:val="00E81E77"/>
    <w:rsid w:val="00E827E9"/>
    <w:rsid w:val="00E8287B"/>
    <w:rsid w:val="00E83EE0"/>
    <w:rsid w:val="00E8435C"/>
    <w:rsid w:val="00E84C5F"/>
    <w:rsid w:val="00E84C86"/>
    <w:rsid w:val="00E85564"/>
    <w:rsid w:val="00E8567F"/>
    <w:rsid w:val="00E862F3"/>
    <w:rsid w:val="00E86845"/>
    <w:rsid w:val="00E86ECF"/>
    <w:rsid w:val="00E87270"/>
    <w:rsid w:val="00E8752B"/>
    <w:rsid w:val="00E87B3B"/>
    <w:rsid w:val="00E904DB"/>
    <w:rsid w:val="00E90DA9"/>
    <w:rsid w:val="00E91A31"/>
    <w:rsid w:val="00E92068"/>
    <w:rsid w:val="00E92838"/>
    <w:rsid w:val="00E935D3"/>
    <w:rsid w:val="00E93DA7"/>
    <w:rsid w:val="00E9450E"/>
    <w:rsid w:val="00E94DE2"/>
    <w:rsid w:val="00E95D2C"/>
    <w:rsid w:val="00E979BF"/>
    <w:rsid w:val="00EA005B"/>
    <w:rsid w:val="00EA148D"/>
    <w:rsid w:val="00EA1719"/>
    <w:rsid w:val="00EA1FFD"/>
    <w:rsid w:val="00EA22A3"/>
    <w:rsid w:val="00EA245D"/>
    <w:rsid w:val="00EA2ED2"/>
    <w:rsid w:val="00EA3D66"/>
    <w:rsid w:val="00EA4402"/>
    <w:rsid w:val="00EA46A2"/>
    <w:rsid w:val="00EA47B0"/>
    <w:rsid w:val="00EA56DF"/>
    <w:rsid w:val="00EA6869"/>
    <w:rsid w:val="00EA6A62"/>
    <w:rsid w:val="00EA6B34"/>
    <w:rsid w:val="00EA6ED3"/>
    <w:rsid w:val="00EA73D0"/>
    <w:rsid w:val="00EA7517"/>
    <w:rsid w:val="00EB0378"/>
    <w:rsid w:val="00EB08D4"/>
    <w:rsid w:val="00EB12F6"/>
    <w:rsid w:val="00EB164C"/>
    <w:rsid w:val="00EB1971"/>
    <w:rsid w:val="00EB32A7"/>
    <w:rsid w:val="00EB38D3"/>
    <w:rsid w:val="00EB3BB2"/>
    <w:rsid w:val="00EB4362"/>
    <w:rsid w:val="00EB6838"/>
    <w:rsid w:val="00EB6AD8"/>
    <w:rsid w:val="00EB73F0"/>
    <w:rsid w:val="00EB7DA1"/>
    <w:rsid w:val="00EB7F90"/>
    <w:rsid w:val="00EC0422"/>
    <w:rsid w:val="00EC04CA"/>
    <w:rsid w:val="00EC0F87"/>
    <w:rsid w:val="00EC0FDA"/>
    <w:rsid w:val="00EC1862"/>
    <w:rsid w:val="00EC1F88"/>
    <w:rsid w:val="00EC20DE"/>
    <w:rsid w:val="00EC2370"/>
    <w:rsid w:val="00EC2C2A"/>
    <w:rsid w:val="00EC2F9E"/>
    <w:rsid w:val="00EC36C3"/>
    <w:rsid w:val="00EC3913"/>
    <w:rsid w:val="00EC4908"/>
    <w:rsid w:val="00EC4F1C"/>
    <w:rsid w:val="00EC5152"/>
    <w:rsid w:val="00EC51B5"/>
    <w:rsid w:val="00EC6145"/>
    <w:rsid w:val="00EC6A83"/>
    <w:rsid w:val="00EC6BC5"/>
    <w:rsid w:val="00EC6DAF"/>
    <w:rsid w:val="00EC7631"/>
    <w:rsid w:val="00ED29A5"/>
    <w:rsid w:val="00ED3C4F"/>
    <w:rsid w:val="00ED4011"/>
    <w:rsid w:val="00ED4661"/>
    <w:rsid w:val="00ED5C38"/>
    <w:rsid w:val="00ED70C4"/>
    <w:rsid w:val="00ED74DC"/>
    <w:rsid w:val="00ED7BC1"/>
    <w:rsid w:val="00EE0064"/>
    <w:rsid w:val="00EE060E"/>
    <w:rsid w:val="00EE0666"/>
    <w:rsid w:val="00EE0788"/>
    <w:rsid w:val="00EE3BC7"/>
    <w:rsid w:val="00EE4616"/>
    <w:rsid w:val="00EE4824"/>
    <w:rsid w:val="00EE5260"/>
    <w:rsid w:val="00EE541B"/>
    <w:rsid w:val="00EE5B05"/>
    <w:rsid w:val="00EE5F41"/>
    <w:rsid w:val="00EE63BA"/>
    <w:rsid w:val="00EE645B"/>
    <w:rsid w:val="00EE65FE"/>
    <w:rsid w:val="00EE73F0"/>
    <w:rsid w:val="00EE7685"/>
    <w:rsid w:val="00EF03E6"/>
    <w:rsid w:val="00EF1276"/>
    <w:rsid w:val="00EF291F"/>
    <w:rsid w:val="00EF2DAF"/>
    <w:rsid w:val="00EF2F65"/>
    <w:rsid w:val="00EF374B"/>
    <w:rsid w:val="00EF40FA"/>
    <w:rsid w:val="00EF43D2"/>
    <w:rsid w:val="00EF4A74"/>
    <w:rsid w:val="00EF528D"/>
    <w:rsid w:val="00EF621A"/>
    <w:rsid w:val="00EF66F0"/>
    <w:rsid w:val="00EF6982"/>
    <w:rsid w:val="00EF6AD9"/>
    <w:rsid w:val="00EF71DA"/>
    <w:rsid w:val="00EF7238"/>
    <w:rsid w:val="00EF7520"/>
    <w:rsid w:val="00EF7E49"/>
    <w:rsid w:val="00F0042F"/>
    <w:rsid w:val="00F005D5"/>
    <w:rsid w:val="00F011E1"/>
    <w:rsid w:val="00F0133F"/>
    <w:rsid w:val="00F01396"/>
    <w:rsid w:val="00F01699"/>
    <w:rsid w:val="00F01A8F"/>
    <w:rsid w:val="00F03321"/>
    <w:rsid w:val="00F0350A"/>
    <w:rsid w:val="00F03C8A"/>
    <w:rsid w:val="00F051F3"/>
    <w:rsid w:val="00F05ABD"/>
    <w:rsid w:val="00F06130"/>
    <w:rsid w:val="00F06779"/>
    <w:rsid w:val="00F06BF3"/>
    <w:rsid w:val="00F0779C"/>
    <w:rsid w:val="00F07C7E"/>
    <w:rsid w:val="00F07DAB"/>
    <w:rsid w:val="00F07E2F"/>
    <w:rsid w:val="00F10C81"/>
    <w:rsid w:val="00F10CB5"/>
    <w:rsid w:val="00F11142"/>
    <w:rsid w:val="00F1218A"/>
    <w:rsid w:val="00F130A5"/>
    <w:rsid w:val="00F135E9"/>
    <w:rsid w:val="00F13C5A"/>
    <w:rsid w:val="00F14397"/>
    <w:rsid w:val="00F15FEF"/>
    <w:rsid w:val="00F160A6"/>
    <w:rsid w:val="00F16204"/>
    <w:rsid w:val="00F165A0"/>
    <w:rsid w:val="00F168D2"/>
    <w:rsid w:val="00F16D9E"/>
    <w:rsid w:val="00F2005D"/>
    <w:rsid w:val="00F2015D"/>
    <w:rsid w:val="00F202FF"/>
    <w:rsid w:val="00F2054C"/>
    <w:rsid w:val="00F207F6"/>
    <w:rsid w:val="00F20B8C"/>
    <w:rsid w:val="00F216D9"/>
    <w:rsid w:val="00F227DD"/>
    <w:rsid w:val="00F22967"/>
    <w:rsid w:val="00F22DC3"/>
    <w:rsid w:val="00F22EF1"/>
    <w:rsid w:val="00F23682"/>
    <w:rsid w:val="00F237DB"/>
    <w:rsid w:val="00F23C24"/>
    <w:rsid w:val="00F23EA7"/>
    <w:rsid w:val="00F241D2"/>
    <w:rsid w:val="00F25094"/>
    <w:rsid w:val="00F2526F"/>
    <w:rsid w:val="00F25864"/>
    <w:rsid w:val="00F262F1"/>
    <w:rsid w:val="00F272E8"/>
    <w:rsid w:val="00F275C6"/>
    <w:rsid w:val="00F27D4F"/>
    <w:rsid w:val="00F27F4B"/>
    <w:rsid w:val="00F308D3"/>
    <w:rsid w:val="00F30CE7"/>
    <w:rsid w:val="00F30DEA"/>
    <w:rsid w:val="00F30EE1"/>
    <w:rsid w:val="00F31712"/>
    <w:rsid w:val="00F31B52"/>
    <w:rsid w:val="00F32653"/>
    <w:rsid w:val="00F32B46"/>
    <w:rsid w:val="00F32EBB"/>
    <w:rsid w:val="00F333AB"/>
    <w:rsid w:val="00F343FD"/>
    <w:rsid w:val="00F34533"/>
    <w:rsid w:val="00F34646"/>
    <w:rsid w:val="00F348EE"/>
    <w:rsid w:val="00F34973"/>
    <w:rsid w:val="00F35C39"/>
    <w:rsid w:val="00F37277"/>
    <w:rsid w:val="00F37AE6"/>
    <w:rsid w:val="00F37DBA"/>
    <w:rsid w:val="00F40DBD"/>
    <w:rsid w:val="00F41289"/>
    <w:rsid w:val="00F4191D"/>
    <w:rsid w:val="00F41C1D"/>
    <w:rsid w:val="00F41E18"/>
    <w:rsid w:val="00F42373"/>
    <w:rsid w:val="00F428DC"/>
    <w:rsid w:val="00F441F0"/>
    <w:rsid w:val="00F44B11"/>
    <w:rsid w:val="00F45525"/>
    <w:rsid w:val="00F45A39"/>
    <w:rsid w:val="00F46591"/>
    <w:rsid w:val="00F46B5F"/>
    <w:rsid w:val="00F46F7D"/>
    <w:rsid w:val="00F5045B"/>
    <w:rsid w:val="00F51232"/>
    <w:rsid w:val="00F51807"/>
    <w:rsid w:val="00F51A93"/>
    <w:rsid w:val="00F52664"/>
    <w:rsid w:val="00F5322E"/>
    <w:rsid w:val="00F532FE"/>
    <w:rsid w:val="00F5370E"/>
    <w:rsid w:val="00F55465"/>
    <w:rsid w:val="00F55C14"/>
    <w:rsid w:val="00F562E8"/>
    <w:rsid w:val="00F57D17"/>
    <w:rsid w:val="00F57F6D"/>
    <w:rsid w:val="00F57F6F"/>
    <w:rsid w:val="00F57F88"/>
    <w:rsid w:val="00F604CF"/>
    <w:rsid w:val="00F61DF1"/>
    <w:rsid w:val="00F62FCA"/>
    <w:rsid w:val="00F63069"/>
    <w:rsid w:val="00F64066"/>
    <w:rsid w:val="00F64B00"/>
    <w:rsid w:val="00F65021"/>
    <w:rsid w:val="00F651AD"/>
    <w:rsid w:val="00F67965"/>
    <w:rsid w:val="00F67E52"/>
    <w:rsid w:val="00F70494"/>
    <w:rsid w:val="00F704C7"/>
    <w:rsid w:val="00F713D6"/>
    <w:rsid w:val="00F7167B"/>
    <w:rsid w:val="00F71CF3"/>
    <w:rsid w:val="00F72588"/>
    <w:rsid w:val="00F72F95"/>
    <w:rsid w:val="00F73A9F"/>
    <w:rsid w:val="00F73AC7"/>
    <w:rsid w:val="00F747CB"/>
    <w:rsid w:val="00F74B65"/>
    <w:rsid w:val="00F74C70"/>
    <w:rsid w:val="00F76C15"/>
    <w:rsid w:val="00F7715F"/>
    <w:rsid w:val="00F77AC5"/>
    <w:rsid w:val="00F77D14"/>
    <w:rsid w:val="00F77F41"/>
    <w:rsid w:val="00F77FA0"/>
    <w:rsid w:val="00F80490"/>
    <w:rsid w:val="00F80DC0"/>
    <w:rsid w:val="00F818FC"/>
    <w:rsid w:val="00F81CA4"/>
    <w:rsid w:val="00F82D9D"/>
    <w:rsid w:val="00F834A1"/>
    <w:rsid w:val="00F83F93"/>
    <w:rsid w:val="00F856CA"/>
    <w:rsid w:val="00F85B15"/>
    <w:rsid w:val="00F86319"/>
    <w:rsid w:val="00F86E87"/>
    <w:rsid w:val="00F876CD"/>
    <w:rsid w:val="00F9042A"/>
    <w:rsid w:val="00F9096B"/>
    <w:rsid w:val="00F913E4"/>
    <w:rsid w:val="00F91C88"/>
    <w:rsid w:val="00F92E87"/>
    <w:rsid w:val="00F92F38"/>
    <w:rsid w:val="00F93081"/>
    <w:rsid w:val="00F9342A"/>
    <w:rsid w:val="00F93534"/>
    <w:rsid w:val="00F94FDA"/>
    <w:rsid w:val="00F95041"/>
    <w:rsid w:val="00F95496"/>
    <w:rsid w:val="00F9588F"/>
    <w:rsid w:val="00F95894"/>
    <w:rsid w:val="00F95B28"/>
    <w:rsid w:val="00F965F2"/>
    <w:rsid w:val="00F96B86"/>
    <w:rsid w:val="00F97466"/>
    <w:rsid w:val="00F97786"/>
    <w:rsid w:val="00FA0798"/>
    <w:rsid w:val="00FA0B09"/>
    <w:rsid w:val="00FA0B17"/>
    <w:rsid w:val="00FA11A8"/>
    <w:rsid w:val="00FA11D6"/>
    <w:rsid w:val="00FA1C23"/>
    <w:rsid w:val="00FA2210"/>
    <w:rsid w:val="00FA2AB6"/>
    <w:rsid w:val="00FA35AC"/>
    <w:rsid w:val="00FA3B5C"/>
    <w:rsid w:val="00FA452E"/>
    <w:rsid w:val="00FA465D"/>
    <w:rsid w:val="00FA6D74"/>
    <w:rsid w:val="00FA6EAC"/>
    <w:rsid w:val="00FA7125"/>
    <w:rsid w:val="00FA7A06"/>
    <w:rsid w:val="00FB0B62"/>
    <w:rsid w:val="00FB0F8F"/>
    <w:rsid w:val="00FB165E"/>
    <w:rsid w:val="00FB1903"/>
    <w:rsid w:val="00FB19D0"/>
    <w:rsid w:val="00FB1FA6"/>
    <w:rsid w:val="00FB23EB"/>
    <w:rsid w:val="00FB3B9B"/>
    <w:rsid w:val="00FB466A"/>
    <w:rsid w:val="00FB48F5"/>
    <w:rsid w:val="00FB4C92"/>
    <w:rsid w:val="00FB53D0"/>
    <w:rsid w:val="00FB5ADA"/>
    <w:rsid w:val="00FB5B1E"/>
    <w:rsid w:val="00FB5D72"/>
    <w:rsid w:val="00FB64C4"/>
    <w:rsid w:val="00FB7076"/>
    <w:rsid w:val="00FB7D26"/>
    <w:rsid w:val="00FB7D49"/>
    <w:rsid w:val="00FC0476"/>
    <w:rsid w:val="00FC0632"/>
    <w:rsid w:val="00FC098A"/>
    <w:rsid w:val="00FC0D95"/>
    <w:rsid w:val="00FC0E81"/>
    <w:rsid w:val="00FC11E8"/>
    <w:rsid w:val="00FC247F"/>
    <w:rsid w:val="00FC358F"/>
    <w:rsid w:val="00FC4481"/>
    <w:rsid w:val="00FC4812"/>
    <w:rsid w:val="00FC48CC"/>
    <w:rsid w:val="00FC5820"/>
    <w:rsid w:val="00FC670A"/>
    <w:rsid w:val="00FC67AB"/>
    <w:rsid w:val="00FD1327"/>
    <w:rsid w:val="00FD1449"/>
    <w:rsid w:val="00FD1718"/>
    <w:rsid w:val="00FD1B69"/>
    <w:rsid w:val="00FD205C"/>
    <w:rsid w:val="00FD2712"/>
    <w:rsid w:val="00FD2BCB"/>
    <w:rsid w:val="00FD2F81"/>
    <w:rsid w:val="00FD3195"/>
    <w:rsid w:val="00FD35D3"/>
    <w:rsid w:val="00FD35EC"/>
    <w:rsid w:val="00FD3C90"/>
    <w:rsid w:val="00FD3FFD"/>
    <w:rsid w:val="00FD53B7"/>
    <w:rsid w:val="00FD5639"/>
    <w:rsid w:val="00FD5CBB"/>
    <w:rsid w:val="00FD648B"/>
    <w:rsid w:val="00FD793F"/>
    <w:rsid w:val="00FE09E3"/>
    <w:rsid w:val="00FE12D3"/>
    <w:rsid w:val="00FE1356"/>
    <w:rsid w:val="00FE1FE9"/>
    <w:rsid w:val="00FE2895"/>
    <w:rsid w:val="00FE2C18"/>
    <w:rsid w:val="00FE2D54"/>
    <w:rsid w:val="00FE37C5"/>
    <w:rsid w:val="00FE3B2D"/>
    <w:rsid w:val="00FE3CAB"/>
    <w:rsid w:val="00FE44FE"/>
    <w:rsid w:val="00FE4CD1"/>
    <w:rsid w:val="00FE4EED"/>
    <w:rsid w:val="00FE556E"/>
    <w:rsid w:val="00FE5E14"/>
    <w:rsid w:val="00FE6344"/>
    <w:rsid w:val="00FE637B"/>
    <w:rsid w:val="00FE6B4C"/>
    <w:rsid w:val="00FE6CBD"/>
    <w:rsid w:val="00FE7002"/>
    <w:rsid w:val="00FE7E89"/>
    <w:rsid w:val="00FF0795"/>
    <w:rsid w:val="00FF0D5E"/>
    <w:rsid w:val="00FF1A97"/>
    <w:rsid w:val="00FF1FCC"/>
    <w:rsid w:val="00FF2622"/>
    <w:rsid w:val="00FF2E8D"/>
    <w:rsid w:val="00FF36C1"/>
    <w:rsid w:val="00FF3872"/>
    <w:rsid w:val="00FF3BB4"/>
    <w:rsid w:val="00FF4492"/>
    <w:rsid w:val="00FF4A35"/>
    <w:rsid w:val="00FF56B8"/>
    <w:rsid w:val="00FF59ED"/>
    <w:rsid w:val="00FF5D42"/>
    <w:rsid w:val="00FF5E02"/>
    <w:rsid w:val="00FF5FC7"/>
    <w:rsid w:val="00FF6713"/>
    <w:rsid w:val="00FF695F"/>
    <w:rsid w:val="00FF6F4B"/>
    <w:rsid w:val="00FF7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CBDEA"/>
  <w15:chartTrackingRefBased/>
  <w15:docId w15:val="{F013B4A5-EFCC-4A4E-BC52-84CA7199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1D"/>
    <w:pPr>
      <w:spacing w:after="200" w:line="276" w:lineRule="auto"/>
    </w:pPr>
    <w:rPr>
      <w:sz w:val="22"/>
      <w:szCs w:val="22"/>
      <w:lang w:eastAsia="en-US"/>
    </w:rPr>
  </w:style>
  <w:style w:type="paragraph" w:styleId="Ttulo1">
    <w:name w:val="heading 1"/>
    <w:basedOn w:val="Normal"/>
    <w:next w:val="Normal"/>
    <w:link w:val="Ttulo1Car"/>
    <w:uiPriority w:val="9"/>
    <w:qFormat/>
    <w:rsid w:val="0091312C"/>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1B515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207601"/>
    <w:pPr>
      <w:keepNext/>
      <w:keepLines/>
      <w:spacing w:before="200" w:after="0"/>
      <w:outlineLvl w:val="2"/>
    </w:pPr>
    <w:rPr>
      <w:rFonts w:ascii="Cambria" w:hAnsi="Cambria"/>
      <w:b/>
      <w:bCs/>
      <w:color w:val="4F81BD"/>
    </w:rPr>
  </w:style>
  <w:style w:type="paragraph" w:styleId="Ttulo5">
    <w:name w:val="heading 5"/>
    <w:basedOn w:val="Normal"/>
    <w:link w:val="Ttulo5Car"/>
    <w:uiPriority w:val="9"/>
    <w:qFormat/>
    <w:rsid w:val="00F704C7"/>
    <w:pPr>
      <w:spacing w:before="100" w:beforeAutospacing="1" w:after="100" w:afterAutospacing="1" w:line="240" w:lineRule="auto"/>
      <w:outlineLvl w:val="4"/>
    </w:pPr>
    <w:rPr>
      <w:rFonts w:ascii="Times New Roman" w:hAnsi="Times New Roman"/>
      <w:color w:val="387AB0"/>
      <w:spacing w:val="-7"/>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semiHidden/>
    <w:locked/>
    <w:rsid w:val="00207601"/>
    <w:rPr>
      <w:rFonts w:ascii="Cambria" w:hAnsi="Cambria" w:cs="Times New Roman"/>
      <w:b/>
      <w:bCs/>
      <w:color w:val="4F81BD"/>
    </w:rPr>
  </w:style>
  <w:style w:type="character" w:customStyle="1" w:styleId="Ttulo5Car">
    <w:name w:val="Título 5 Car"/>
    <w:link w:val="Ttulo5"/>
    <w:uiPriority w:val="9"/>
    <w:locked/>
    <w:rsid w:val="00F704C7"/>
    <w:rPr>
      <w:rFonts w:ascii="Times New Roman" w:hAnsi="Times New Roman" w:cs="Times New Roman"/>
      <w:color w:val="387AB0"/>
      <w:spacing w:val="-7"/>
      <w:sz w:val="20"/>
      <w:szCs w:val="20"/>
      <w:lang w:val="x-none" w:eastAsia="es-ES"/>
    </w:rPr>
  </w:style>
  <w:style w:type="paragraph" w:customStyle="1" w:styleId="Prrafodelista1">
    <w:name w:val="Párrafo de lista1"/>
    <w:basedOn w:val="Normal"/>
    <w:uiPriority w:val="34"/>
    <w:qFormat/>
    <w:rsid w:val="00BA75EF"/>
    <w:pPr>
      <w:ind w:left="720"/>
      <w:contextualSpacing/>
    </w:pPr>
  </w:style>
  <w:style w:type="paragraph" w:styleId="Encabezado">
    <w:name w:val="header"/>
    <w:basedOn w:val="Normal"/>
    <w:link w:val="EncabezadoCar"/>
    <w:uiPriority w:val="99"/>
    <w:unhideWhenUsed/>
    <w:rsid w:val="00292962"/>
    <w:pPr>
      <w:tabs>
        <w:tab w:val="center" w:pos="4252"/>
        <w:tab w:val="right" w:pos="8504"/>
      </w:tabs>
      <w:spacing w:after="0" w:line="240" w:lineRule="auto"/>
    </w:pPr>
  </w:style>
  <w:style w:type="character" w:customStyle="1" w:styleId="EncabezadoCar">
    <w:name w:val="Encabezado Car"/>
    <w:link w:val="Encabezado"/>
    <w:uiPriority w:val="99"/>
    <w:locked/>
    <w:rsid w:val="00292962"/>
    <w:rPr>
      <w:rFonts w:cs="Times New Roman"/>
    </w:rPr>
  </w:style>
  <w:style w:type="paragraph" w:styleId="Piedepgina">
    <w:name w:val="footer"/>
    <w:basedOn w:val="Normal"/>
    <w:link w:val="PiedepginaCar"/>
    <w:uiPriority w:val="99"/>
    <w:unhideWhenUsed/>
    <w:rsid w:val="00292962"/>
    <w:pPr>
      <w:tabs>
        <w:tab w:val="center" w:pos="4252"/>
        <w:tab w:val="right" w:pos="8504"/>
      </w:tabs>
      <w:spacing w:after="0" w:line="240" w:lineRule="auto"/>
    </w:pPr>
  </w:style>
  <w:style w:type="character" w:customStyle="1" w:styleId="PiedepginaCar">
    <w:name w:val="Pie de página Car"/>
    <w:link w:val="Piedepgina"/>
    <w:uiPriority w:val="99"/>
    <w:locked/>
    <w:rsid w:val="00292962"/>
    <w:rPr>
      <w:rFonts w:cs="Times New Roman"/>
    </w:rPr>
  </w:style>
  <w:style w:type="paragraph" w:customStyle="1" w:styleId="Default">
    <w:name w:val="Default"/>
    <w:uiPriority w:val="99"/>
    <w:rsid w:val="003C60FA"/>
    <w:pPr>
      <w:autoSpaceDE w:val="0"/>
      <w:autoSpaceDN w:val="0"/>
      <w:adjustRightInd w:val="0"/>
    </w:pPr>
    <w:rPr>
      <w:rFonts w:ascii="Arial" w:hAnsi="Arial" w:cs="Arial"/>
      <w:color w:val="000000"/>
      <w:sz w:val="24"/>
      <w:szCs w:val="24"/>
    </w:rPr>
  </w:style>
  <w:style w:type="paragraph" w:customStyle="1" w:styleId="justificado">
    <w:name w:val="justificado"/>
    <w:basedOn w:val="Normal"/>
    <w:rsid w:val="00E1502C"/>
    <w:pPr>
      <w:spacing w:before="100" w:beforeAutospacing="1" w:after="100" w:afterAutospacing="1" w:line="240" w:lineRule="auto"/>
      <w:jc w:val="both"/>
    </w:pPr>
    <w:rPr>
      <w:rFonts w:ascii="Times New Roman" w:hAnsi="Times New Roman"/>
      <w:sz w:val="24"/>
      <w:szCs w:val="24"/>
      <w:lang w:eastAsia="es-ES"/>
    </w:rPr>
  </w:style>
  <w:style w:type="paragraph" w:customStyle="1" w:styleId="no0020spacing">
    <w:name w:val="no_0020spacing"/>
    <w:basedOn w:val="Normal"/>
    <w:uiPriority w:val="99"/>
    <w:rsid w:val="00FB64C4"/>
    <w:pPr>
      <w:spacing w:before="100" w:beforeAutospacing="1" w:after="100" w:afterAutospacing="1" w:line="240" w:lineRule="auto"/>
    </w:pPr>
    <w:rPr>
      <w:rFonts w:ascii="Times New Roman" w:hAnsi="Times New Roman"/>
      <w:sz w:val="24"/>
      <w:szCs w:val="24"/>
      <w:lang w:eastAsia="es-ES"/>
    </w:rPr>
  </w:style>
  <w:style w:type="character" w:styleId="Fuerte">
    <w:name w:val="Strong"/>
    <w:aliases w:val="Texto en negrita"/>
    <w:uiPriority w:val="22"/>
    <w:qFormat/>
    <w:rsid w:val="00F704C7"/>
    <w:rPr>
      <w:rFonts w:cs="Times New Roman"/>
      <w:b/>
      <w:bCs/>
    </w:rPr>
  </w:style>
  <w:style w:type="paragraph" w:styleId="Textonotapie">
    <w:name w:val="footnote text"/>
    <w:basedOn w:val="Normal"/>
    <w:link w:val="TextonotapieCar"/>
    <w:uiPriority w:val="99"/>
    <w:semiHidden/>
    <w:unhideWhenUsed/>
    <w:rsid w:val="00EE65FE"/>
    <w:pPr>
      <w:spacing w:after="0" w:line="240" w:lineRule="auto"/>
    </w:pPr>
    <w:rPr>
      <w:sz w:val="20"/>
      <w:szCs w:val="20"/>
      <w:lang w:val="ca-ES"/>
    </w:rPr>
  </w:style>
  <w:style w:type="character" w:customStyle="1" w:styleId="TextonotapieCar">
    <w:name w:val="Texto nota pie Car"/>
    <w:link w:val="Textonotapie"/>
    <w:uiPriority w:val="99"/>
    <w:semiHidden/>
    <w:locked/>
    <w:rsid w:val="00EE65FE"/>
    <w:rPr>
      <w:rFonts w:ascii="Calibri" w:eastAsia="Times New Roman" w:hAnsi="Calibri" w:cs="Times New Roman"/>
      <w:sz w:val="20"/>
      <w:szCs w:val="20"/>
      <w:lang w:val="ca-ES" w:eastAsia="x-none"/>
    </w:rPr>
  </w:style>
  <w:style w:type="character" w:styleId="Refdenotaalpie">
    <w:name w:val="footnote reference"/>
    <w:uiPriority w:val="99"/>
    <w:semiHidden/>
    <w:unhideWhenUsed/>
    <w:rsid w:val="00EE65FE"/>
    <w:rPr>
      <w:rFonts w:cs="Times New Roman"/>
      <w:vertAlign w:val="superscript"/>
    </w:rPr>
  </w:style>
  <w:style w:type="paragraph" w:customStyle="1" w:styleId="default0">
    <w:name w:val="default"/>
    <w:basedOn w:val="Normal"/>
    <w:rsid w:val="00C80F7E"/>
    <w:pPr>
      <w:spacing w:before="100" w:beforeAutospacing="1" w:after="100" w:afterAutospacing="1" w:line="240" w:lineRule="auto"/>
    </w:pPr>
    <w:rPr>
      <w:rFonts w:ascii="Times New Roman" w:hAnsi="Times New Roman"/>
      <w:sz w:val="24"/>
      <w:szCs w:val="24"/>
      <w:lang w:eastAsia="es-ES"/>
    </w:rPr>
  </w:style>
  <w:style w:type="paragraph" w:styleId="NormalWeb">
    <w:name w:val="Normal (Web)"/>
    <w:basedOn w:val="Normal"/>
    <w:uiPriority w:val="99"/>
    <w:unhideWhenUsed/>
    <w:rsid w:val="008E17D0"/>
    <w:pPr>
      <w:spacing w:before="100" w:beforeAutospacing="1" w:after="100" w:afterAutospacing="1" w:line="240" w:lineRule="auto"/>
    </w:pPr>
    <w:rPr>
      <w:rFonts w:ascii="Times New Roman" w:hAnsi="Times New Roman"/>
      <w:sz w:val="24"/>
      <w:szCs w:val="24"/>
      <w:lang w:eastAsia="es-ES"/>
    </w:rPr>
  </w:style>
  <w:style w:type="paragraph" w:customStyle="1" w:styleId="Pa9">
    <w:name w:val="Pa9"/>
    <w:basedOn w:val="Normal"/>
    <w:next w:val="Normal"/>
    <w:rsid w:val="00361A4D"/>
    <w:pPr>
      <w:autoSpaceDE w:val="0"/>
      <w:autoSpaceDN w:val="0"/>
      <w:adjustRightInd w:val="0"/>
      <w:spacing w:after="0" w:line="201" w:lineRule="atLeast"/>
    </w:pPr>
    <w:rPr>
      <w:rFonts w:ascii="Arial" w:hAnsi="Arial"/>
      <w:sz w:val="24"/>
      <w:szCs w:val="24"/>
      <w:lang w:eastAsia="es-ES"/>
    </w:rPr>
  </w:style>
  <w:style w:type="paragraph" w:customStyle="1" w:styleId="Pa6">
    <w:name w:val="Pa6"/>
    <w:basedOn w:val="Normal"/>
    <w:next w:val="Normal"/>
    <w:rsid w:val="003E1C52"/>
    <w:pPr>
      <w:autoSpaceDE w:val="0"/>
      <w:autoSpaceDN w:val="0"/>
      <w:adjustRightInd w:val="0"/>
      <w:spacing w:after="0" w:line="201" w:lineRule="atLeast"/>
    </w:pPr>
    <w:rPr>
      <w:rFonts w:ascii="Arial" w:hAnsi="Arial"/>
      <w:sz w:val="24"/>
      <w:szCs w:val="24"/>
      <w:lang w:eastAsia="es-ES"/>
    </w:rPr>
  </w:style>
  <w:style w:type="paragraph" w:customStyle="1" w:styleId="Pa7">
    <w:name w:val="Pa7"/>
    <w:basedOn w:val="Default"/>
    <w:next w:val="Default"/>
    <w:rsid w:val="0087631E"/>
    <w:pPr>
      <w:spacing w:line="201" w:lineRule="atLeast"/>
    </w:pPr>
    <w:rPr>
      <w:rFonts w:cs="Times New Roman"/>
      <w:color w:val="auto"/>
    </w:rPr>
  </w:style>
  <w:style w:type="paragraph" w:customStyle="1" w:styleId="Pa11">
    <w:name w:val="Pa11"/>
    <w:basedOn w:val="Default"/>
    <w:next w:val="Default"/>
    <w:rsid w:val="0087631E"/>
    <w:pPr>
      <w:spacing w:line="201" w:lineRule="atLeast"/>
    </w:pPr>
    <w:rPr>
      <w:rFonts w:cs="Times New Roman"/>
      <w:color w:val="auto"/>
    </w:rPr>
  </w:style>
  <w:style w:type="paragraph" w:customStyle="1" w:styleId="Pa8">
    <w:name w:val="Pa8"/>
    <w:basedOn w:val="Default"/>
    <w:next w:val="Default"/>
    <w:rsid w:val="000D2021"/>
    <w:pPr>
      <w:spacing w:line="201" w:lineRule="atLeast"/>
    </w:pPr>
    <w:rPr>
      <w:rFonts w:cs="Times New Roman"/>
      <w:color w:val="auto"/>
    </w:rPr>
  </w:style>
  <w:style w:type="paragraph" w:customStyle="1" w:styleId="fechacanalresultados1">
    <w:name w:val="fechacanalresultados1"/>
    <w:basedOn w:val="Normal"/>
    <w:rsid w:val="009033B8"/>
    <w:pPr>
      <w:spacing w:before="144" w:after="144" w:line="264" w:lineRule="atLeast"/>
    </w:pPr>
    <w:rPr>
      <w:rFonts w:ascii="Times New Roman" w:hAnsi="Times New Roman"/>
      <w:color w:val="555555"/>
      <w:lang w:eastAsia="es-ES"/>
    </w:rPr>
  </w:style>
  <w:style w:type="paragraph" w:customStyle="1" w:styleId="parrafo1">
    <w:name w:val="parrafo1"/>
    <w:basedOn w:val="Normal"/>
    <w:rsid w:val="00F41289"/>
    <w:pPr>
      <w:spacing w:before="180" w:after="180" w:line="240" w:lineRule="auto"/>
      <w:ind w:firstLine="360"/>
      <w:jc w:val="both"/>
    </w:pPr>
    <w:rPr>
      <w:rFonts w:ascii="Times New Roman" w:hAnsi="Times New Roman"/>
      <w:sz w:val="24"/>
      <w:szCs w:val="24"/>
      <w:lang w:eastAsia="es-ES"/>
    </w:rPr>
  </w:style>
  <w:style w:type="paragraph" w:customStyle="1" w:styleId="textodetallenoticia">
    <w:name w:val="textodetallenoticia"/>
    <w:basedOn w:val="Normal"/>
    <w:uiPriority w:val="99"/>
    <w:rsid w:val="005C7F58"/>
    <w:pPr>
      <w:spacing w:before="100" w:beforeAutospacing="1" w:after="100" w:afterAutospacing="1" w:line="240" w:lineRule="auto"/>
    </w:pPr>
    <w:rPr>
      <w:rFonts w:ascii="Times New Roman" w:hAnsi="Times New Roman"/>
      <w:sz w:val="24"/>
      <w:szCs w:val="24"/>
      <w:lang w:eastAsia="es-ES"/>
    </w:rPr>
  </w:style>
  <w:style w:type="character" w:customStyle="1" w:styleId="apple-converted-space">
    <w:name w:val="apple-converted-space"/>
    <w:rsid w:val="005C7F58"/>
    <w:rPr>
      <w:rFonts w:cs="Times New Roman"/>
    </w:rPr>
  </w:style>
  <w:style w:type="character" w:styleId="Hipervnculo">
    <w:name w:val="Hyperlink"/>
    <w:uiPriority w:val="99"/>
    <w:unhideWhenUsed/>
    <w:rsid w:val="007F150A"/>
    <w:rPr>
      <w:rFonts w:cs="Times New Roman"/>
      <w:color w:val="0000FF"/>
      <w:u w:val="single"/>
    </w:rPr>
  </w:style>
  <w:style w:type="paragraph" w:customStyle="1" w:styleId="Pa10">
    <w:name w:val="Pa10"/>
    <w:basedOn w:val="Normal"/>
    <w:next w:val="Normal"/>
    <w:rsid w:val="00C35063"/>
    <w:pPr>
      <w:autoSpaceDE w:val="0"/>
      <w:autoSpaceDN w:val="0"/>
      <w:adjustRightInd w:val="0"/>
      <w:spacing w:after="0" w:line="201" w:lineRule="atLeast"/>
    </w:pPr>
    <w:rPr>
      <w:rFonts w:ascii="Arial" w:hAnsi="Arial"/>
      <w:sz w:val="24"/>
      <w:szCs w:val="24"/>
      <w:lang w:eastAsia="es-ES"/>
    </w:rPr>
  </w:style>
  <w:style w:type="paragraph" w:customStyle="1" w:styleId="Pa13">
    <w:name w:val="Pa13"/>
    <w:basedOn w:val="Default"/>
    <w:next w:val="Default"/>
    <w:rsid w:val="00C35063"/>
    <w:pPr>
      <w:spacing w:line="161" w:lineRule="atLeast"/>
    </w:pPr>
    <w:rPr>
      <w:rFonts w:cs="Times New Roman"/>
      <w:color w:val="auto"/>
    </w:rPr>
  </w:style>
  <w:style w:type="paragraph" w:customStyle="1" w:styleId="Pa14">
    <w:name w:val="Pa14"/>
    <w:basedOn w:val="Default"/>
    <w:next w:val="Default"/>
    <w:rsid w:val="00C35063"/>
    <w:pPr>
      <w:spacing w:line="181" w:lineRule="atLeast"/>
    </w:pPr>
    <w:rPr>
      <w:rFonts w:cs="Times New Roman"/>
      <w:color w:val="auto"/>
    </w:rPr>
  </w:style>
  <w:style w:type="paragraph" w:customStyle="1" w:styleId="Pa15">
    <w:name w:val="Pa15"/>
    <w:basedOn w:val="Default"/>
    <w:next w:val="Default"/>
    <w:rsid w:val="00C35063"/>
    <w:pPr>
      <w:spacing w:line="181" w:lineRule="atLeast"/>
    </w:pPr>
    <w:rPr>
      <w:rFonts w:cs="Times New Roman"/>
      <w:color w:val="auto"/>
    </w:rPr>
  </w:style>
  <w:style w:type="paragraph" w:customStyle="1" w:styleId="Pa17">
    <w:name w:val="Pa17"/>
    <w:basedOn w:val="Default"/>
    <w:next w:val="Default"/>
    <w:rsid w:val="00C35063"/>
    <w:pPr>
      <w:spacing w:line="201" w:lineRule="atLeast"/>
    </w:pPr>
    <w:rPr>
      <w:rFonts w:cs="Times New Roman"/>
      <w:color w:val="auto"/>
    </w:rPr>
  </w:style>
  <w:style w:type="paragraph" w:customStyle="1" w:styleId="Cuerpo">
    <w:name w:val="Cuerpo"/>
    <w:rsid w:val="00F30DE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hAnsi="Arial Unicode MS" w:cs="Arial Unicode MS"/>
      <w:color w:val="000000"/>
      <w:sz w:val="22"/>
      <w:szCs w:val="22"/>
      <w:lang w:val="es-ES_tradnl"/>
    </w:rPr>
  </w:style>
  <w:style w:type="paragraph" w:styleId="Prrafodelista">
    <w:name w:val="List Paragraph"/>
    <w:aliases w:val="Viñeta1,OBJETIVO,Párrafo"/>
    <w:basedOn w:val="Normal"/>
    <w:link w:val="PrrafodelistaCar"/>
    <w:uiPriority w:val="34"/>
    <w:qFormat/>
    <w:rsid w:val="00E344A3"/>
    <w:pPr>
      <w:ind w:left="708"/>
    </w:pPr>
  </w:style>
  <w:style w:type="table" w:styleId="Tablaconcuadrcula">
    <w:name w:val="Table Grid"/>
    <w:basedOn w:val="Tablanormal"/>
    <w:uiPriority w:val="59"/>
    <w:rsid w:val="003B35B1"/>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1 Car,OBJETIVO Car,Párrafo Car"/>
    <w:link w:val="Prrafodelista"/>
    <w:uiPriority w:val="34"/>
    <w:locked/>
    <w:rsid w:val="00AD468E"/>
    <w:rPr>
      <w:sz w:val="22"/>
      <w:szCs w:val="22"/>
      <w:lang w:eastAsia="en-US"/>
    </w:rPr>
  </w:style>
  <w:style w:type="paragraph" w:customStyle="1" w:styleId="Pa16">
    <w:name w:val="Pa16"/>
    <w:basedOn w:val="Default"/>
    <w:next w:val="Default"/>
    <w:rsid w:val="006251E1"/>
    <w:pPr>
      <w:spacing w:line="201" w:lineRule="atLeast"/>
    </w:pPr>
    <w:rPr>
      <w:rFonts w:cs="Times New Roman"/>
      <w:color w:val="auto"/>
    </w:rPr>
  </w:style>
  <w:style w:type="paragraph" w:customStyle="1" w:styleId="Pa19">
    <w:name w:val="Pa19"/>
    <w:basedOn w:val="Default"/>
    <w:next w:val="Default"/>
    <w:rsid w:val="006251E1"/>
    <w:pPr>
      <w:spacing w:line="201" w:lineRule="atLeast"/>
    </w:pPr>
    <w:rPr>
      <w:rFonts w:cs="Times New Roman"/>
      <w:color w:val="auto"/>
    </w:rPr>
  </w:style>
  <w:style w:type="paragraph" w:customStyle="1" w:styleId="Pa20">
    <w:name w:val="Pa20"/>
    <w:basedOn w:val="Default"/>
    <w:next w:val="Default"/>
    <w:rsid w:val="006251E1"/>
    <w:pPr>
      <w:spacing w:line="201" w:lineRule="atLeast"/>
    </w:pPr>
    <w:rPr>
      <w:rFonts w:cs="Times New Roman"/>
      <w:color w:val="auto"/>
    </w:rPr>
  </w:style>
  <w:style w:type="paragraph" w:customStyle="1" w:styleId="Pa21">
    <w:name w:val="Pa21"/>
    <w:basedOn w:val="Default"/>
    <w:next w:val="Default"/>
    <w:rsid w:val="006251E1"/>
    <w:pPr>
      <w:spacing w:line="201" w:lineRule="atLeast"/>
    </w:pPr>
    <w:rPr>
      <w:rFonts w:cs="Times New Roman"/>
      <w:color w:val="auto"/>
    </w:rPr>
  </w:style>
  <w:style w:type="paragraph" w:customStyle="1" w:styleId="Pa12">
    <w:name w:val="Pa12"/>
    <w:basedOn w:val="Normal"/>
    <w:next w:val="Normal"/>
    <w:rsid w:val="006251E1"/>
    <w:pPr>
      <w:autoSpaceDE w:val="0"/>
      <w:autoSpaceDN w:val="0"/>
      <w:adjustRightInd w:val="0"/>
      <w:spacing w:after="0" w:line="201" w:lineRule="atLeast"/>
    </w:pPr>
    <w:rPr>
      <w:rFonts w:ascii="Arial" w:hAnsi="Arial"/>
      <w:sz w:val="24"/>
      <w:szCs w:val="24"/>
      <w:lang w:eastAsia="es-ES"/>
    </w:rPr>
  </w:style>
  <w:style w:type="paragraph" w:customStyle="1" w:styleId="entradilla">
    <w:name w:val="entradilla"/>
    <w:basedOn w:val="Normal"/>
    <w:uiPriority w:val="99"/>
    <w:rsid w:val="00122F71"/>
    <w:pPr>
      <w:spacing w:before="100" w:beforeAutospacing="1" w:after="100" w:afterAutospacing="1" w:line="240" w:lineRule="auto"/>
    </w:pPr>
    <w:rPr>
      <w:rFonts w:ascii="Times New Roman" w:eastAsia="Calibri" w:hAnsi="Times New Roman"/>
      <w:sz w:val="24"/>
      <w:szCs w:val="24"/>
      <w:lang w:eastAsia="es-ES"/>
    </w:rPr>
  </w:style>
  <w:style w:type="character" w:styleId="Hipervnculovisitado">
    <w:name w:val="FollowedHyperlink"/>
    <w:uiPriority w:val="99"/>
    <w:semiHidden/>
    <w:unhideWhenUsed/>
    <w:rsid w:val="00DD01F1"/>
    <w:rPr>
      <w:color w:val="800080"/>
      <w:u w:val="single"/>
    </w:rPr>
  </w:style>
  <w:style w:type="paragraph" w:customStyle="1" w:styleId="xdef">
    <w:name w:val="xdef"/>
    <w:basedOn w:val="Normal"/>
    <w:rsid w:val="00406B6C"/>
    <w:pPr>
      <w:spacing w:before="100" w:beforeAutospacing="1" w:after="100" w:afterAutospacing="1" w:line="240" w:lineRule="auto"/>
      <w:ind w:left="75" w:right="75"/>
    </w:pPr>
    <w:rPr>
      <w:rFonts w:ascii="Times New Roman" w:hAnsi="Times New Roman"/>
      <w:sz w:val="24"/>
      <w:szCs w:val="24"/>
      <w:lang w:eastAsia="es-ES"/>
    </w:rPr>
  </w:style>
  <w:style w:type="character" w:styleId="Refdecomentario">
    <w:name w:val="annotation reference"/>
    <w:uiPriority w:val="99"/>
    <w:semiHidden/>
    <w:unhideWhenUsed/>
    <w:rsid w:val="007C14D6"/>
    <w:rPr>
      <w:sz w:val="16"/>
      <w:szCs w:val="16"/>
    </w:rPr>
  </w:style>
  <w:style w:type="paragraph" w:styleId="Textocomentario">
    <w:name w:val="annotation text"/>
    <w:basedOn w:val="Normal"/>
    <w:link w:val="TextocomentarioCar"/>
    <w:uiPriority w:val="99"/>
    <w:unhideWhenUsed/>
    <w:rsid w:val="007C14D6"/>
    <w:rPr>
      <w:sz w:val="20"/>
      <w:szCs w:val="20"/>
    </w:rPr>
  </w:style>
  <w:style w:type="character" w:customStyle="1" w:styleId="TextocomentarioCar">
    <w:name w:val="Texto comentario Car"/>
    <w:link w:val="Textocomentario"/>
    <w:uiPriority w:val="99"/>
    <w:rsid w:val="007C14D6"/>
    <w:rPr>
      <w:lang w:eastAsia="en-US"/>
    </w:rPr>
  </w:style>
  <w:style w:type="paragraph" w:styleId="Asuntodelcomentario">
    <w:name w:val="annotation subject"/>
    <w:basedOn w:val="Textocomentario"/>
    <w:next w:val="Textocomentario"/>
    <w:link w:val="AsuntodelcomentarioCar"/>
    <w:uiPriority w:val="99"/>
    <w:semiHidden/>
    <w:unhideWhenUsed/>
    <w:rsid w:val="007C14D6"/>
    <w:rPr>
      <w:b/>
      <w:bCs/>
    </w:rPr>
  </w:style>
  <w:style w:type="character" w:customStyle="1" w:styleId="AsuntodelcomentarioCar">
    <w:name w:val="Asunto del comentario Car"/>
    <w:link w:val="Asuntodelcomentario"/>
    <w:uiPriority w:val="99"/>
    <w:semiHidden/>
    <w:rsid w:val="007C14D6"/>
    <w:rPr>
      <w:b/>
      <w:bCs/>
      <w:lang w:eastAsia="en-US"/>
    </w:rPr>
  </w:style>
  <w:style w:type="paragraph" w:styleId="Textodeglobo">
    <w:name w:val="Balloon Text"/>
    <w:basedOn w:val="Normal"/>
    <w:link w:val="TextodegloboCar"/>
    <w:uiPriority w:val="99"/>
    <w:semiHidden/>
    <w:unhideWhenUsed/>
    <w:rsid w:val="007C14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C14D6"/>
    <w:rPr>
      <w:rFonts w:ascii="Tahoma" w:hAnsi="Tahoma" w:cs="Tahoma"/>
      <w:sz w:val="16"/>
      <w:szCs w:val="16"/>
      <w:lang w:eastAsia="en-US"/>
    </w:rPr>
  </w:style>
  <w:style w:type="character" w:customStyle="1" w:styleId="Ttulo2Car">
    <w:name w:val="Título 2 Car"/>
    <w:link w:val="Ttulo2"/>
    <w:uiPriority w:val="9"/>
    <w:semiHidden/>
    <w:rsid w:val="001B5153"/>
    <w:rPr>
      <w:rFonts w:ascii="Cambria" w:eastAsia="Times New Roman" w:hAnsi="Cambria" w:cs="Times New Roman"/>
      <w:b/>
      <w:bCs/>
      <w:i/>
      <w:iCs/>
      <w:sz w:val="28"/>
      <w:szCs w:val="28"/>
      <w:lang w:eastAsia="en-US"/>
    </w:rPr>
  </w:style>
  <w:style w:type="character" w:customStyle="1" w:styleId="Ttulo1Car">
    <w:name w:val="Título 1 Car"/>
    <w:link w:val="Ttulo1"/>
    <w:uiPriority w:val="9"/>
    <w:rsid w:val="0091312C"/>
    <w:rPr>
      <w:rFonts w:ascii="Cambria" w:eastAsia="Times New Roman" w:hAnsi="Cambria" w:cs="Times New Roman"/>
      <w:b/>
      <w:bCs/>
      <w:kern w:val="32"/>
      <w:sz w:val="32"/>
      <w:szCs w:val="32"/>
      <w:lang w:eastAsia="en-US"/>
    </w:rPr>
  </w:style>
  <w:style w:type="character" w:styleId="nfasis">
    <w:name w:val="Emphasis"/>
    <w:uiPriority w:val="20"/>
    <w:qFormat/>
    <w:rsid w:val="009D2052"/>
    <w:rPr>
      <w:i/>
      <w:iCs/>
    </w:rPr>
  </w:style>
  <w:style w:type="paragraph" w:customStyle="1" w:styleId="msolistparagraph0">
    <w:name w:val="msolistparagraph"/>
    <w:basedOn w:val="Normal"/>
    <w:rsid w:val="004252AA"/>
    <w:pPr>
      <w:spacing w:before="100" w:beforeAutospacing="1" w:after="100" w:afterAutospacing="1" w:line="240" w:lineRule="auto"/>
    </w:pPr>
    <w:rPr>
      <w:rFonts w:ascii="Times New Roman" w:hAnsi="Times New Roman"/>
      <w:sz w:val="24"/>
      <w:szCs w:val="24"/>
      <w:lang w:eastAsia="es-ES"/>
    </w:rPr>
  </w:style>
  <w:style w:type="character" w:customStyle="1" w:styleId="s1">
    <w:name w:val="s1"/>
    <w:rsid w:val="00B41355"/>
  </w:style>
  <w:style w:type="paragraph" w:customStyle="1" w:styleId="parrafo">
    <w:name w:val="parrafo"/>
    <w:basedOn w:val="Normal"/>
    <w:rsid w:val="005574C8"/>
    <w:pPr>
      <w:spacing w:before="100" w:beforeAutospacing="1" w:after="100" w:afterAutospacing="1" w:line="240" w:lineRule="auto"/>
    </w:pPr>
    <w:rPr>
      <w:rFonts w:ascii="Times New Roman" w:hAnsi="Times New Roman"/>
      <w:sz w:val="24"/>
      <w:szCs w:val="24"/>
      <w:lang w:eastAsia="es-ES"/>
    </w:rPr>
  </w:style>
  <w:style w:type="paragraph" w:customStyle="1" w:styleId="parrafo2">
    <w:name w:val="parrafo_2"/>
    <w:basedOn w:val="Normal"/>
    <w:rsid w:val="006B1828"/>
    <w:pPr>
      <w:spacing w:before="100" w:beforeAutospacing="1" w:after="100" w:afterAutospacing="1" w:line="240" w:lineRule="auto"/>
    </w:pPr>
    <w:rPr>
      <w:rFonts w:ascii="Times New Roman" w:hAnsi="Times New Roman"/>
      <w:sz w:val="24"/>
      <w:szCs w:val="24"/>
      <w:lang w:eastAsia="es-ES"/>
    </w:rPr>
  </w:style>
  <w:style w:type="character" w:customStyle="1" w:styleId="Ninguno">
    <w:name w:val="Ninguno"/>
    <w:rsid w:val="00B472BC"/>
  </w:style>
  <w:style w:type="character" w:styleId="Mencinsinresolver">
    <w:name w:val="Unresolved Mention"/>
    <w:uiPriority w:val="99"/>
    <w:semiHidden/>
    <w:unhideWhenUsed/>
    <w:rsid w:val="00FA452E"/>
    <w:rPr>
      <w:color w:val="605E5C"/>
      <w:shd w:val="clear" w:color="auto" w:fill="E1DFDD"/>
    </w:rPr>
  </w:style>
  <w:style w:type="character" w:customStyle="1" w:styleId="ledlive">
    <w:name w:val="ledlive"/>
    <w:rsid w:val="006C256B"/>
    <w:rPr>
      <w:rFonts w:ascii="Arial" w:hAnsi="Arial" w:cs="Arial" w:hint="default"/>
    </w:rPr>
  </w:style>
  <w:style w:type="paragraph" w:styleId="Sinespaciado">
    <w:name w:val="No Spacing"/>
    <w:uiPriority w:val="1"/>
    <w:qFormat/>
    <w:rsid w:val="004857C8"/>
    <w:rPr>
      <w:rFonts w:eastAsia="Calibri"/>
      <w:sz w:val="22"/>
      <w:szCs w:val="22"/>
      <w:lang w:eastAsia="en-US"/>
    </w:rPr>
  </w:style>
  <w:style w:type="paragraph" w:customStyle="1" w:styleId="xmsonormal">
    <w:name w:val="x_msonormal"/>
    <w:basedOn w:val="Normal"/>
    <w:rsid w:val="00894564"/>
    <w:pPr>
      <w:spacing w:after="0" w:line="240" w:lineRule="auto"/>
    </w:pPr>
    <w:rPr>
      <w:rFonts w:eastAsia="Calibri" w:cs="Calibri"/>
      <w:lang w:eastAsia="es-ES"/>
    </w:rPr>
  </w:style>
  <w:style w:type="paragraph" w:customStyle="1" w:styleId="xmsolistparagraph">
    <w:name w:val="x_msolistparagraph"/>
    <w:basedOn w:val="Normal"/>
    <w:rsid w:val="00894564"/>
    <w:pPr>
      <w:spacing w:after="0" w:line="240" w:lineRule="auto"/>
      <w:ind w:left="720"/>
    </w:pPr>
    <w:rPr>
      <w:rFonts w:eastAsia="Calibri" w:cs="Calibri"/>
      <w:sz w:val="20"/>
      <w:szCs w:val="20"/>
      <w:lang w:eastAsia="es-ES"/>
    </w:rPr>
  </w:style>
  <w:style w:type="paragraph" w:customStyle="1" w:styleId="xxmsolistparagraph">
    <w:name w:val="x_xmsolistparagraph"/>
    <w:basedOn w:val="Normal"/>
    <w:rsid w:val="001E35B6"/>
    <w:pPr>
      <w:spacing w:after="0" w:line="240" w:lineRule="auto"/>
      <w:ind w:left="720"/>
    </w:pPr>
    <w:rPr>
      <w:rFonts w:eastAsia="Calibri" w:cs="Calibri"/>
      <w:sz w:val="20"/>
      <w:szCs w:val="20"/>
      <w:lang w:eastAsia="es-ES"/>
    </w:rPr>
  </w:style>
  <w:style w:type="paragraph" w:customStyle="1" w:styleId="xxmsonormal">
    <w:name w:val="x_xmsonormal"/>
    <w:basedOn w:val="Normal"/>
    <w:rsid w:val="000207A1"/>
    <w:pPr>
      <w:spacing w:after="0" w:line="240" w:lineRule="auto"/>
    </w:pPr>
    <w:rPr>
      <w:rFonts w:eastAsia="Calibri" w:cs="Calibri"/>
      <w:lang w:eastAsia="es-ES"/>
    </w:rPr>
  </w:style>
  <w:style w:type="paragraph" w:customStyle="1" w:styleId="elementtoproof">
    <w:name w:val="elementtoproof"/>
    <w:basedOn w:val="Normal"/>
    <w:rsid w:val="00FD5CBB"/>
    <w:pPr>
      <w:spacing w:after="0" w:line="240" w:lineRule="auto"/>
    </w:pPr>
    <w:rPr>
      <w:rFonts w:ascii="Aptos" w:eastAsia="Aptos" w:hAnsi="Aptos" w:cs="Aptos"/>
      <w:sz w:val="24"/>
      <w:szCs w:val="24"/>
      <w:lang w:eastAsia="es-ES"/>
    </w:rPr>
  </w:style>
  <w:style w:type="paragraph" w:customStyle="1" w:styleId="xxxxmsonormal">
    <w:name w:val="x_xxxmsonormal"/>
    <w:basedOn w:val="Normal"/>
    <w:rsid w:val="00E84C5F"/>
    <w:pPr>
      <w:spacing w:after="0" w:line="240" w:lineRule="auto"/>
    </w:pPr>
    <w:rPr>
      <w:rFonts w:eastAsia="Aptos"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098">
      <w:bodyDiv w:val="1"/>
      <w:marLeft w:val="0"/>
      <w:marRight w:val="0"/>
      <w:marTop w:val="0"/>
      <w:marBottom w:val="0"/>
      <w:divBdr>
        <w:top w:val="none" w:sz="0" w:space="0" w:color="auto"/>
        <w:left w:val="none" w:sz="0" w:space="0" w:color="auto"/>
        <w:bottom w:val="none" w:sz="0" w:space="0" w:color="auto"/>
        <w:right w:val="none" w:sz="0" w:space="0" w:color="auto"/>
      </w:divBdr>
    </w:div>
    <w:div w:id="19665202">
      <w:bodyDiv w:val="1"/>
      <w:marLeft w:val="0"/>
      <w:marRight w:val="0"/>
      <w:marTop w:val="0"/>
      <w:marBottom w:val="0"/>
      <w:divBdr>
        <w:top w:val="none" w:sz="0" w:space="0" w:color="auto"/>
        <w:left w:val="none" w:sz="0" w:space="0" w:color="auto"/>
        <w:bottom w:val="none" w:sz="0" w:space="0" w:color="auto"/>
        <w:right w:val="none" w:sz="0" w:space="0" w:color="auto"/>
      </w:divBdr>
    </w:div>
    <w:div w:id="21102874">
      <w:bodyDiv w:val="1"/>
      <w:marLeft w:val="0"/>
      <w:marRight w:val="0"/>
      <w:marTop w:val="0"/>
      <w:marBottom w:val="0"/>
      <w:divBdr>
        <w:top w:val="none" w:sz="0" w:space="0" w:color="auto"/>
        <w:left w:val="none" w:sz="0" w:space="0" w:color="auto"/>
        <w:bottom w:val="none" w:sz="0" w:space="0" w:color="auto"/>
        <w:right w:val="none" w:sz="0" w:space="0" w:color="auto"/>
      </w:divBdr>
    </w:div>
    <w:div w:id="31075487">
      <w:bodyDiv w:val="1"/>
      <w:marLeft w:val="0"/>
      <w:marRight w:val="0"/>
      <w:marTop w:val="0"/>
      <w:marBottom w:val="0"/>
      <w:divBdr>
        <w:top w:val="none" w:sz="0" w:space="0" w:color="auto"/>
        <w:left w:val="none" w:sz="0" w:space="0" w:color="auto"/>
        <w:bottom w:val="none" w:sz="0" w:space="0" w:color="auto"/>
        <w:right w:val="none" w:sz="0" w:space="0" w:color="auto"/>
      </w:divBdr>
    </w:div>
    <w:div w:id="38289987">
      <w:bodyDiv w:val="1"/>
      <w:marLeft w:val="0"/>
      <w:marRight w:val="0"/>
      <w:marTop w:val="0"/>
      <w:marBottom w:val="0"/>
      <w:divBdr>
        <w:top w:val="none" w:sz="0" w:space="0" w:color="auto"/>
        <w:left w:val="none" w:sz="0" w:space="0" w:color="auto"/>
        <w:bottom w:val="none" w:sz="0" w:space="0" w:color="auto"/>
        <w:right w:val="none" w:sz="0" w:space="0" w:color="auto"/>
      </w:divBdr>
    </w:div>
    <w:div w:id="45567642">
      <w:bodyDiv w:val="1"/>
      <w:marLeft w:val="0"/>
      <w:marRight w:val="0"/>
      <w:marTop w:val="0"/>
      <w:marBottom w:val="0"/>
      <w:divBdr>
        <w:top w:val="none" w:sz="0" w:space="0" w:color="auto"/>
        <w:left w:val="none" w:sz="0" w:space="0" w:color="auto"/>
        <w:bottom w:val="none" w:sz="0" w:space="0" w:color="auto"/>
        <w:right w:val="none" w:sz="0" w:space="0" w:color="auto"/>
      </w:divBdr>
    </w:div>
    <w:div w:id="47799033">
      <w:bodyDiv w:val="1"/>
      <w:marLeft w:val="0"/>
      <w:marRight w:val="0"/>
      <w:marTop w:val="0"/>
      <w:marBottom w:val="0"/>
      <w:divBdr>
        <w:top w:val="none" w:sz="0" w:space="0" w:color="auto"/>
        <w:left w:val="none" w:sz="0" w:space="0" w:color="auto"/>
        <w:bottom w:val="none" w:sz="0" w:space="0" w:color="auto"/>
        <w:right w:val="none" w:sz="0" w:space="0" w:color="auto"/>
      </w:divBdr>
    </w:div>
    <w:div w:id="56051134">
      <w:bodyDiv w:val="1"/>
      <w:marLeft w:val="0"/>
      <w:marRight w:val="0"/>
      <w:marTop w:val="0"/>
      <w:marBottom w:val="0"/>
      <w:divBdr>
        <w:top w:val="none" w:sz="0" w:space="0" w:color="auto"/>
        <w:left w:val="none" w:sz="0" w:space="0" w:color="auto"/>
        <w:bottom w:val="none" w:sz="0" w:space="0" w:color="auto"/>
        <w:right w:val="none" w:sz="0" w:space="0" w:color="auto"/>
      </w:divBdr>
    </w:div>
    <w:div w:id="58600718">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61948437">
      <w:bodyDiv w:val="1"/>
      <w:marLeft w:val="0"/>
      <w:marRight w:val="0"/>
      <w:marTop w:val="0"/>
      <w:marBottom w:val="0"/>
      <w:divBdr>
        <w:top w:val="none" w:sz="0" w:space="0" w:color="auto"/>
        <w:left w:val="none" w:sz="0" w:space="0" w:color="auto"/>
        <w:bottom w:val="none" w:sz="0" w:space="0" w:color="auto"/>
        <w:right w:val="none" w:sz="0" w:space="0" w:color="auto"/>
      </w:divBdr>
    </w:div>
    <w:div w:id="67775147">
      <w:bodyDiv w:val="1"/>
      <w:marLeft w:val="0"/>
      <w:marRight w:val="0"/>
      <w:marTop w:val="0"/>
      <w:marBottom w:val="0"/>
      <w:divBdr>
        <w:top w:val="none" w:sz="0" w:space="0" w:color="auto"/>
        <w:left w:val="none" w:sz="0" w:space="0" w:color="auto"/>
        <w:bottom w:val="none" w:sz="0" w:space="0" w:color="auto"/>
        <w:right w:val="none" w:sz="0" w:space="0" w:color="auto"/>
      </w:divBdr>
    </w:div>
    <w:div w:id="71970181">
      <w:bodyDiv w:val="1"/>
      <w:marLeft w:val="0"/>
      <w:marRight w:val="0"/>
      <w:marTop w:val="0"/>
      <w:marBottom w:val="0"/>
      <w:divBdr>
        <w:top w:val="none" w:sz="0" w:space="0" w:color="auto"/>
        <w:left w:val="none" w:sz="0" w:space="0" w:color="auto"/>
        <w:bottom w:val="none" w:sz="0" w:space="0" w:color="auto"/>
        <w:right w:val="none" w:sz="0" w:space="0" w:color="auto"/>
      </w:divBdr>
    </w:div>
    <w:div w:id="79568973">
      <w:bodyDiv w:val="1"/>
      <w:marLeft w:val="0"/>
      <w:marRight w:val="0"/>
      <w:marTop w:val="0"/>
      <w:marBottom w:val="0"/>
      <w:divBdr>
        <w:top w:val="none" w:sz="0" w:space="0" w:color="auto"/>
        <w:left w:val="none" w:sz="0" w:space="0" w:color="auto"/>
        <w:bottom w:val="none" w:sz="0" w:space="0" w:color="auto"/>
        <w:right w:val="none" w:sz="0" w:space="0" w:color="auto"/>
      </w:divBdr>
    </w:div>
    <w:div w:id="86343534">
      <w:bodyDiv w:val="1"/>
      <w:marLeft w:val="0"/>
      <w:marRight w:val="0"/>
      <w:marTop w:val="0"/>
      <w:marBottom w:val="0"/>
      <w:divBdr>
        <w:top w:val="none" w:sz="0" w:space="0" w:color="auto"/>
        <w:left w:val="none" w:sz="0" w:space="0" w:color="auto"/>
        <w:bottom w:val="none" w:sz="0" w:space="0" w:color="auto"/>
        <w:right w:val="none" w:sz="0" w:space="0" w:color="auto"/>
      </w:divBdr>
    </w:div>
    <w:div w:id="86973659">
      <w:bodyDiv w:val="1"/>
      <w:marLeft w:val="0"/>
      <w:marRight w:val="0"/>
      <w:marTop w:val="0"/>
      <w:marBottom w:val="0"/>
      <w:divBdr>
        <w:top w:val="none" w:sz="0" w:space="0" w:color="auto"/>
        <w:left w:val="none" w:sz="0" w:space="0" w:color="auto"/>
        <w:bottom w:val="none" w:sz="0" w:space="0" w:color="auto"/>
        <w:right w:val="none" w:sz="0" w:space="0" w:color="auto"/>
      </w:divBdr>
    </w:div>
    <w:div w:id="88158486">
      <w:bodyDiv w:val="1"/>
      <w:marLeft w:val="0"/>
      <w:marRight w:val="0"/>
      <w:marTop w:val="0"/>
      <w:marBottom w:val="0"/>
      <w:divBdr>
        <w:top w:val="none" w:sz="0" w:space="0" w:color="auto"/>
        <w:left w:val="none" w:sz="0" w:space="0" w:color="auto"/>
        <w:bottom w:val="none" w:sz="0" w:space="0" w:color="auto"/>
        <w:right w:val="none" w:sz="0" w:space="0" w:color="auto"/>
      </w:divBdr>
    </w:div>
    <w:div w:id="88625747">
      <w:bodyDiv w:val="1"/>
      <w:marLeft w:val="0"/>
      <w:marRight w:val="0"/>
      <w:marTop w:val="0"/>
      <w:marBottom w:val="0"/>
      <w:divBdr>
        <w:top w:val="none" w:sz="0" w:space="0" w:color="auto"/>
        <w:left w:val="none" w:sz="0" w:space="0" w:color="auto"/>
        <w:bottom w:val="none" w:sz="0" w:space="0" w:color="auto"/>
        <w:right w:val="none" w:sz="0" w:space="0" w:color="auto"/>
      </w:divBdr>
    </w:div>
    <w:div w:id="88933957">
      <w:bodyDiv w:val="1"/>
      <w:marLeft w:val="0"/>
      <w:marRight w:val="0"/>
      <w:marTop w:val="0"/>
      <w:marBottom w:val="0"/>
      <w:divBdr>
        <w:top w:val="none" w:sz="0" w:space="0" w:color="auto"/>
        <w:left w:val="none" w:sz="0" w:space="0" w:color="auto"/>
        <w:bottom w:val="none" w:sz="0" w:space="0" w:color="auto"/>
        <w:right w:val="none" w:sz="0" w:space="0" w:color="auto"/>
      </w:divBdr>
    </w:div>
    <w:div w:id="92168995">
      <w:bodyDiv w:val="1"/>
      <w:marLeft w:val="0"/>
      <w:marRight w:val="0"/>
      <w:marTop w:val="0"/>
      <w:marBottom w:val="0"/>
      <w:divBdr>
        <w:top w:val="none" w:sz="0" w:space="0" w:color="auto"/>
        <w:left w:val="none" w:sz="0" w:space="0" w:color="auto"/>
        <w:bottom w:val="none" w:sz="0" w:space="0" w:color="auto"/>
        <w:right w:val="none" w:sz="0" w:space="0" w:color="auto"/>
      </w:divBdr>
    </w:div>
    <w:div w:id="106003172">
      <w:bodyDiv w:val="1"/>
      <w:marLeft w:val="0"/>
      <w:marRight w:val="0"/>
      <w:marTop w:val="0"/>
      <w:marBottom w:val="0"/>
      <w:divBdr>
        <w:top w:val="none" w:sz="0" w:space="0" w:color="auto"/>
        <w:left w:val="none" w:sz="0" w:space="0" w:color="auto"/>
        <w:bottom w:val="none" w:sz="0" w:space="0" w:color="auto"/>
        <w:right w:val="none" w:sz="0" w:space="0" w:color="auto"/>
      </w:divBdr>
    </w:div>
    <w:div w:id="114908510">
      <w:bodyDiv w:val="1"/>
      <w:marLeft w:val="0"/>
      <w:marRight w:val="0"/>
      <w:marTop w:val="0"/>
      <w:marBottom w:val="0"/>
      <w:divBdr>
        <w:top w:val="none" w:sz="0" w:space="0" w:color="auto"/>
        <w:left w:val="none" w:sz="0" w:space="0" w:color="auto"/>
        <w:bottom w:val="none" w:sz="0" w:space="0" w:color="auto"/>
        <w:right w:val="none" w:sz="0" w:space="0" w:color="auto"/>
      </w:divBdr>
    </w:div>
    <w:div w:id="116339820">
      <w:bodyDiv w:val="1"/>
      <w:marLeft w:val="0"/>
      <w:marRight w:val="0"/>
      <w:marTop w:val="0"/>
      <w:marBottom w:val="0"/>
      <w:divBdr>
        <w:top w:val="none" w:sz="0" w:space="0" w:color="auto"/>
        <w:left w:val="none" w:sz="0" w:space="0" w:color="auto"/>
        <w:bottom w:val="none" w:sz="0" w:space="0" w:color="auto"/>
        <w:right w:val="none" w:sz="0" w:space="0" w:color="auto"/>
      </w:divBdr>
    </w:div>
    <w:div w:id="116920371">
      <w:bodyDiv w:val="1"/>
      <w:marLeft w:val="0"/>
      <w:marRight w:val="0"/>
      <w:marTop w:val="0"/>
      <w:marBottom w:val="0"/>
      <w:divBdr>
        <w:top w:val="none" w:sz="0" w:space="0" w:color="auto"/>
        <w:left w:val="none" w:sz="0" w:space="0" w:color="auto"/>
        <w:bottom w:val="none" w:sz="0" w:space="0" w:color="auto"/>
        <w:right w:val="none" w:sz="0" w:space="0" w:color="auto"/>
      </w:divBdr>
    </w:div>
    <w:div w:id="120076299">
      <w:bodyDiv w:val="1"/>
      <w:marLeft w:val="0"/>
      <w:marRight w:val="0"/>
      <w:marTop w:val="0"/>
      <w:marBottom w:val="0"/>
      <w:divBdr>
        <w:top w:val="none" w:sz="0" w:space="0" w:color="auto"/>
        <w:left w:val="none" w:sz="0" w:space="0" w:color="auto"/>
        <w:bottom w:val="none" w:sz="0" w:space="0" w:color="auto"/>
        <w:right w:val="none" w:sz="0" w:space="0" w:color="auto"/>
      </w:divBdr>
    </w:div>
    <w:div w:id="121002738">
      <w:bodyDiv w:val="1"/>
      <w:marLeft w:val="0"/>
      <w:marRight w:val="0"/>
      <w:marTop w:val="0"/>
      <w:marBottom w:val="0"/>
      <w:divBdr>
        <w:top w:val="none" w:sz="0" w:space="0" w:color="auto"/>
        <w:left w:val="none" w:sz="0" w:space="0" w:color="auto"/>
        <w:bottom w:val="none" w:sz="0" w:space="0" w:color="auto"/>
        <w:right w:val="none" w:sz="0" w:space="0" w:color="auto"/>
      </w:divBdr>
    </w:div>
    <w:div w:id="122237077">
      <w:bodyDiv w:val="1"/>
      <w:marLeft w:val="0"/>
      <w:marRight w:val="0"/>
      <w:marTop w:val="0"/>
      <w:marBottom w:val="0"/>
      <w:divBdr>
        <w:top w:val="none" w:sz="0" w:space="0" w:color="auto"/>
        <w:left w:val="none" w:sz="0" w:space="0" w:color="auto"/>
        <w:bottom w:val="none" w:sz="0" w:space="0" w:color="auto"/>
        <w:right w:val="none" w:sz="0" w:space="0" w:color="auto"/>
      </w:divBdr>
    </w:div>
    <w:div w:id="130637709">
      <w:bodyDiv w:val="1"/>
      <w:marLeft w:val="0"/>
      <w:marRight w:val="0"/>
      <w:marTop w:val="0"/>
      <w:marBottom w:val="0"/>
      <w:divBdr>
        <w:top w:val="none" w:sz="0" w:space="0" w:color="auto"/>
        <w:left w:val="none" w:sz="0" w:space="0" w:color="auto"/>
        <w:bottom w:val="none" w:sz="0" w:space="0" w:color="auto"/>
        <w:right w:val="none" w:sz="0" w:space="0" w:color="auto"/>
      </w:divBdr>
    </w:div>
    <w:div w:id="131296094">
      <w:bodyDiv w:val="1"/>
      <w:marLeft w:val="0"/>
      <w:marRight w:val="0"/>
      <w:marTop w:val="0"/>
      <w:marBottom w:val="0"/>
      <w:divBdr>
        <w:top w:val="none" w:sz="0" w:space="0" w:color="auto"/>
        <w:left w:val="none" w:sz="0" w:space="0" w:color="auto"/>
        <w:bottom w:val="none" w:sz="0" w:space="0" w:color="auto"/>
        <w:right w:val="none" w:sz="0" w:space="0" w:color="auto"/>
      </w:divBdr>
    </w:div>
    <w:div w:id="140268897">
      <w:bodyDiv w:val="1"/>
      <w:marLeft w:val="0"/>
      <w:marRight w:val="0"/>
      <w:marTop w:val="0"/>
      <w:marBottom w:val="0"/>
      <w:divBdr>
        <w:top w:val="none" w:sz="0" w:space="0" w:color="auto"/>
        <w:left w:val="none" w:sz="0" w:space="0" w:color="auto"/>
        <w:bottom w:val="none" w:sz="0" w:space="0" w:color="auto"/>
        <w:right w:val="none" w:sz="0" w:space="0" w:color="auto"/>
      </w:divBdr>
    </w:div>
    <w:div w:id="143132706">
      <w:bodyDiv w:val="1"/>
      <w:marLeft w:val="0"/>
      <w:marRight w:val="0"/>
      <w:marTop w:val="0"/>
      <w:marBottom w:val="0"/>
      <w:divBdr>
        <w:top w:val="none" w:sz="0" w:space="0" w:color="auto"/>
        <w:left w:val="none" w:sz="0" w:space="0" w:color="auto"/>
        <w:bottom w:val="none" w:sz="0" w:space="0" w:color="auto"/>
        <w:right w:val="none" w:sz="0" w:space="0" w:color="auto"/>
      </w:divBdr>
    </w:div>
    <w:div w:id="146171309">
      <w:bodyDiv w:val="1"/>
      <w:marLeft w:val="0"/>
      <w:marRight w:val="0"/>
      <w:marTop w:val="0"/>
      <w:marBottom w:val="0"/>
      <w:divBdr>
        <w:top w:val="none" w:sz="0" w:space="0" w:color="auto"/>
        <w:left w:val="none" w:sz="0" w:space="0" w:color="auto"/>
        <w:bottom w:val="none" w:sz="0" w:space="0" w:color="auto"/>
        <w:right w:val="none" w:sz="0" w:space="0" w:color="auto"/>
      </w:divBdr>
    </w:div>
    <w:div w:id="152918425">
      <w:bodyDiv w:val="1"/>
      <w:marLeft w:val="0"/>
      <w:marRight w:val="0"/>
      <w:marTop w:val="0"/>
      <w:marBottom w:val="0"/>
      <w:divBdr>
        <w:top w:val="none" w:sz="0" w:space="0" w:color="auto"/>
        <w:left w:val="none" w:sz="0" w:space="0" w:color="auto"/>
        <w:bottom w:val="none" w:sz="0" w:space="0" w:color="auto"/>
        <w:right w:val="none" w:sz="0" w:space="0" w:color="auto"/>
      </w:divBdr>
    </w:div>
    <w:div w:id="153493792">
      <w:bodyDiv w:val="1"/>
      <w:marLeft w:val="0"/>
      <w:marRight w:val="0"/>
      <w:marTop w:val="0"/>
      <w:marBottom w:val="0"/>
      <w:divBdr>
        <w:top w:val="none" w:sz="0" w:space="0" w:color="auto"/>
        <w:left w:val="none" w:sz="0" w:space="0" w:color="auto"/>
        <w:bottom w:val="none" w:sz="0" w:space="0" w:color="auto"/>
        <w:right w:val="none" w:sz="0" w:space="0" w:color="auto"/>
      </w:divBdr>
    </w:div>
    <w:div w:id="153959431">
      <w:bodyDiv w:val="1"/>
      <w:marLeft w:val="0"/>
      <w:marRight w:val="0"/>
      <w:marTop w:val="0"/>
      <w:marBottom w:val="0"/>
      <w:divBdr>
        <w:top w:val="none" w:sz="0" w:space="0" w:color="auto"/>
        <w:left w:val="none" w:sz="0" w:space="0" w:color="auto"/>
        <w:bottom w:val="none" w:sz="0" w:space="0" w:color="auto"/>
        <w:right w:val="none" w:sz="0" w:space="0" w:color="auto"/>
      </w:divBdr>
    </w:div>
    <w:div w:id="178004626">
      <w:bodyDiv w:val="1"/>
      <w:marLeft w:val="0"/>
      <w:marRight w:val="0"/>
      <w:marTop w:val="0"/>
      <w:marBottom w:val="0"/>
      <w:divBdr>
        <w:top w:val="none" w:sz="0" w:space="0" w:color="auto"/>
        <w:left w:val="none" w:sz="0" w:space="0" w:color="auto"/>
        <w:bottom w:val="none" w:sz="0" w:space="0" w:color="auto"/>
        <w:right w:val="none" w:sz="0" w:space="0" w:color="auto"/>
      </w:divBdr>
    </w:div>
    <w:div w:id="178010737">
      <w:bodyDiv w:val="1"/>
      <w:marLeft w:val="0"/>
      <w:marRight w:val="0"/>
      <w:marTop w:val="0"/>
      <w:marBottom w:val="0"/>
      <w:divBdr>
        <w:top w:val="none" w:sz="0" w:space="0" w:color="auto"/>
        <w:left w:val="none" w:sz="0" w:space="0" w:color="auto"/>
        <w:bottom w:val="none" w:sz="0" w:space="0" w:color="auto"/>
        <w:right w:val="none" w:sz="0" w:space="0" w:color="auto"/>
      </w:divBdr>
    </w:div>
    <w:div w:id="187068611">
      <w:bodyDiv w:val="1"/>
      <w:marLeft w:val="0"/>
      <w:marRight w:val="0"/>
      <w:marTop w:val="0"/>
      <w:marBottom w:val="0"/>
      <w:divBdr>
        <w:top w:val="none" w:sz="0" w:space="0" w:color="auto"/>
        <w:left w:val="none" w:sz="0" w:space="0" w:color="auto"/>
        <w:bottom w:val="none" w:sz="0" w:space="0" w:color="auto"/>
        <w:right w:val="none" w:sz="0" w:space="0" w:color="auto"/>
      </w:divBdr>
    </w:div>
    <w:div w:id="188107929">
      <w:bodyDiv w:val="1"/>
      <w:marLeft w:val="0"/>
      <w:marRight w:val="0"/>
      <w:marTop w:val="0"/>
      <w:marBottom w:val="0"/>
      <w:divBdr>
        <w:top w:val="none" w:sz="0" w:space="0" w:color="auto"/>
        <w:left w:val="none" w:sz="0" w:space="0" w:color="auto"/>
        <w:bottom w:val="none" w:sz="0" w:space="0" w:color="auto"/>
        <w:right w:val="none" w:sz="0" w:space="0" w:color="auto"/>
      </w:divBdr>
    </w:div>
    <w:div w:id="189730814">
      <w:bodyDiv w:val="1"/>
      <w:marLeft w:val="0"/>
      <w:marRight w:val="0"/>
      <w:marTop w:val="0"/>
      <w:marBottom w:val="0"/>
      <w:divBdr>
        <w:top w:val="none" w:sz="0" w:space="0" w:color="auto"/>
        <w:left w:val="none" w:sz="0" w:space="0" w:color="auto"/>
        <w:bottom w:val="none" w:sz="0" w:space="0" w:color="auto"/>
        <w:right w:val="none" w:sz="0" w:space="0" w:color="auto"/>
      </w:divBdr>
    </w:div>
    <w:div w:id="196503862">
      <w:bodyDiv w:val="1"/>
      <w:marLeft w:val="0"/>
      <w:marRight w:val="0"/>
      <w:marTop w:val="0"/>
      <w:marBottom w:val="0"/>
      <w:divBdr>
        <w:top w:val="none" w:sz="0" w:space="0" w:color="auto"/>
        <w:left w:val="none" w:sz="0" w:space="0" w:color="auto"/>
        <w:bottom w:val="none" w:sz="0" w:space="0" w:color="auto"/>
        <w:right w:val="none" w:sz="0" w:space="0" w:color="auto"/>
      </w:divBdr>
    </w:div>
    <w:div w:id="199366525">
      <w:bodyDiv w:val="1"/>
      <w:marLeft w:val="0"/>
      <w:marRight w:val="0"/>
      <w:marTop w:val="0"/>
      <w:marBottom w:val="0"/>
      <w:divBdr>
        <w:top w:val="none" w:sz="0" w:space="0" w:color="auto"/>
        <w:left w:val="none" w:sz="0" w:space="0" w:color="auto"/>
        <w:bottom w:val="none" w:sz="0" w:space="0" w:color="auto"/>
        <w:right w:val="none" w:sz="0" w:space="0" w:color="auto"/>
      </w:divBdr>
    </w:div>
    <w:div w:id="199637685">
      <w:bodyDiv w:val="1"/>
      <w:marLeft w:val="0"/>
      <w:marRight w:val="0"/>
      <w:marTop w:val="0"/>
      <w:marBottom w:val="0"/>
      <w:divBdr>
        <w:top w:val="none" w:sz="0" w:space="0" w:color="auto"/>
        <w:left w:val="none" w:sz="0" w:space="0" w:color="auto"/>
        <w:bottom w:val="none" w:sz="0" w:space="0" w:color="auto"/>
        <w:right w:val="none" w:sz="0" w:space="0" w:color="auto"/>
      </w:divBdr>
    </w:div>
    <w:div w:id="205142679">
      <w:bodyDiv w:val="1"/>
      <w:marLeft w:val="0"/>
      <w:marRight w:val="0"/>
      <w:marTop w:val="0"/>
      <w:marBottom w:val="0"/>
      <w:divBdr>
        <w:top w:val="none" w:sz="0" w:space="0" w:color="auto"/>
        <w:left w:val="none" w:sz="0" w:space="0" w:color="auto"/>
        <w:bottom w:val="none" w:sz="0" w:space="0" w:color="auto"/>
        <w:right w:val="none" w:sz="0" w:space="0" w:color="auto"/>
      </w:divBdr>
    </w:div>
    <w:div w:id="207377128">
      <w:bodyDiv w:val="1"/>
      <w:marLeft w:val="0"/>
      <w:marRight w:val="0"/>
      <w:marTop w:val="0"/>
      <w:marBottom w:val="0"/>
      <w:divBdr>
        <w:top w:val="none" w:sz="0" w:space="0" w:color="auto"/>
        <w:left w:val="none" w:sz="0" w:space="0" w:color="auto"/>
        <w:bottom w:val="none" w:sz="0" w:space="0" w:color="auto"/>
        <w:right w:val="none" w:sz="0" w:space="0" w:color="auto"/>
      </w:divBdr>
    </w:div>
    <w:div w:id="214708371">
      <w:bodyDiv w:val="1"/>
      <w:marLeft w:val="0"/>
      <w:marRight w:val="0"/>
      <w:marTop w:val="0"/>
      <w:marBottom w:val="0"/>
      <w:divBdr>
        <w:top w:val="none" w:sz="0" w:space="0" w:color="auto"/>
        <w:left w:val="none" w:sz="0" w:space="0" w:color="auto"/>
        <w:bottom w:val="none" w:sz="0" w:space="0" w:color="auto"/>
        <w:right w:val="none" w:sz="0" w:space="0" w:color="auto"/>
      </w:divBdr>
    </w:div>
    <w:div w:id="214893203">
      <w:bodyDiv w:val="1"/>
      <w:marLeft w:val="0"/>
      <w:marRight w:val="0"/>
      <w:marTop w:val="0"/>
      <w:marBottom w:val="0"/>
      <w:divBdr>
        <w:top w:val="none" w:sz="0" w:space="0" w:color="auto"/>
        <w:left w:val="none" w:sz="0" w:space="0" w:color="auto"/>
        <w:bottom w:val="none" w:sz="0" w:space="0" w:color="auto"/>
        <w:right w:val="none" w:sz="0" w:space="0" w:color="auto"/>
      </w:divBdr>
    </w:div>
    <w:div w:id="215774370">
      <w:bodyDiv w:val="1"/>
      <w:marLeft w:val="0"/>
      <w:marRight w:val="0"/>
      <w:marTop w:val="0"/>
      <w:marBottom w:val="0"/>
      <w:divBdr>
        <w:top w:val="none" w:sz="0" w:space="0" w:color="auto"/>
        <w:left w:val="none" w:sz="0" w:space="0" w:color="auto"/>
        <w:bottom w:val="none" w:sz="0" w:space="0" w:color="auto"/>
        <w:right w:val="none" w:sz="0" w:space="0" w:color="auto"/>
      </w:divBdr>
    </w:div>
    <w:div w:id="217085471">
      <w:bodyDiv w:val="1"/>
      <w:marLeft w:val="0"/>
      <w:marRight w:val="0"/>
      <w:marTop w:val="0"/>
      <w:marBottom w:val="0"/>
      <w:divBdr>
        <w:top w:val="none" w:sz="0" w:space="0" w:color="auto"/>
        <w:left w:val="none" w:sz="0" w:space="0" w:color="auto"/>
        <w:bottom w:val="none" w:sz="0" w:space="0" w:color="auto"/>
        <w:right w:val="none" w:sz="0" w:space="0" w:color="auto"/>
      </w:divBdr>
    </w:div>
    <w:div w:id="217520407">
      <w:bodyDiv w:val="1"/>
      <w:marLeft w:val="0"/>
      <w:marRight w:val="0"/>
      <w:marTop w:val="0"/>
      <w:marBottom w:val="0"/>
      <w:divBdr>
        <w:top w:val="none" w:sz="0" w:space="0" w:color="auto"/>
        <w:left w:val="none" w:sz="0" w:space="0" w:color="auto"/>
        <w:bottom w:val="none" w:sz="0" w:space="0" w:color="auto"/>
        <w:right w:val="none" w:sz="0" w:space="0" w:color="auto"/>
      </w:divBdr>
    </w:div>
    <w:div w:id="226645758">
      <w:bodyDiv w:val="1"/>
      <w:marLeft w:val="0"/>
      <w:marRight w:val="0"/>
      <w:marTop w:val="0"/>
      <w:marBottom w:val="0"/>
      <w:divBdr>
        <w:top w:val="none" w:sz="0" w:space="0" w:color="auto"/>
        <w:left w:val="none" w:sz="0" w:space="0" w:color="auto"/>
        <w:bottom w:val="none" w:sz="0" w:space="0" w:color="auto"/>
        <w:right w:val="none" w:sz="0" w:space="0" w:color="auto"/>
      </w:divBdr>
    </w:div>
    <w:div w:id="229465976">
      <w:bodyDiv w:val="1"/>
      <w:marLeft w:val="0"/>
      <w:marRight w:val="0"/>
      <w:marTop w:val="0"/>
      <w:marBottom w:val="0"/>
      <w:divBdr>
        <w:top w:val="none" w:sz="0" w:space="0" w:color="auto"/>
        <w:left w:val="none" w:sz="0" w:space="0" w:color="auto"/>
        <w:bottom w:val="none" w:sz="0" w:space="0" w:color="auto"/>
        <w:right w:val="none" w:sz="0" w:space="0" w:color="auto"/>
      </w:divBdr>
    </w:div>
    <w:div w:id="229657060">
      <w:bodyDiv w:val="1"/>
      <w:marLeft w:val="0"/>
      <w:marRight w:val="0"/>
      <w:marTop w:val="0"/>
      <w:marBottom w:val="0"/>
      <w:divBdr>
        <w:top w:val="none" w:sz="0" w:space="0" w:color="auto"/>
        <w:left w:val="none" w:sz="0" w:space="0" w:color="auto"/>
        <w:bottom w:val="none" w:sz="0" w:space="0" w:color="auto"/>
        <w:right w:val="none" w:sz="0" w:space="0" w:color="auto"/>
      </w:divBdr>
    </w:div>
    <w:div w:id="236323270">
      <w:bodyDiv w:val="1"/>
      <w:marLeft w:val="0"/>
      <w:marRight w:val="0"/>
      <w:marTop w:val="0"/>
      <w:marBottom w:val="0"/>
      <w:divBdr>
        <w:top w:val="none" w:sz="0" w:space="0" w:color="auto"/>
        <w:left w:val="none" w:sz="0" w:space="0" w:color="auto"/>
        <w:bottom w:val="none" w:sz="0" w:space="0" w:color="auto"/>
        <w:right w:val="none" w:sz="0" w:space="0" w:color="auto"/>
      </w:divBdr>
    </w:div>
    <w:div w:id="248465803">
      <w:bodyDiv w:val="1"/>
      <w:marLeft w:val="0"/>
      <w:marRight w:val="0"/>
      <w:marTop w:val="0"/>
      <w:marBottom w:val="0"/>
      <w:divBdr>
        <w:top w:val="none" w:sz="0" w:space="0" w:color="auto"/>
        <w:left w:val="none" w:sz="0" w:space="0" w:color="auto"/>
        <w:bottom w:val="none" w:sz="0" w:space="0" w:color="auto"/>
        <w:right w:val="none" w:sz="0" w:space="0" w:color="auto"/>
      </w:divBdr>
    </w:div>
    <w:div w:id="258174067">
      <w:bodyDiv w:val="1"/>
      <w:marLeft w:val="0"/>
      <w:marRight w:val="0"/>
      <w:marTop w:val="0"/>
      <w:marBottom w:val="0"/>
      <w:divBdr>
        <w:top w:val="none" w:sz="0" w:space="0" w:color="auto"/>
        <w:left w:val="none" w:sz="0" w:space="0" w:color="auto"/>
        <w:bottom w:val="none" w:sz="0" w:space="0" w:color="auto"/>
        <w:right w:val="none" w:sz="0" w:space="0" w:color="auto"/>
      </w:divBdr>
    </w:div>
    <w:div w:id="259458477">
      <w:bodyDiv w:val="1"/>
      <w:marLeft w:val="0"/>
      <w:marRight w:val="0"/>
      <w:marTop w:val="0"/>
      <w:marBottom w:val="0"/>
      <w:divBdr>
        <w:top w:val="none" w:sz="0" w:space="0" w:color="auto"/>
        <w:left w:val="none" w:sz="0" w:space="0" w:color="auto"/>
        <w:bottom w:val="none" w:sz="0" w:space="0" w:color="auto"/>
        <w:right w:val="none" w:sz="0" w:space="0" w:color="auto"/>
      </w:divBdr>
    </w:div>
    <w:div w:id="261913981">
      <w:bodyDiv w:val="1"/>
      <w:marLeft w:val="0"/>
      <w:marRight w:val="0"/>
      <w:marTop w:val="0"/>
      <w:marBottom w:val="0"/>
      <w:divBdr>
        <w:top w:val="none" w:sz="0" w:space="0" w:color="auto"/>
        <w:left w:val="none" w:sz="0" w:space="0" w:color="auto"/>
        <w:bottom w:val="none" w:sz="0" w:space="0" w:color="auto"/>
        <w:right w:val="none" w:sz="0" w:space="0" w:color="auto"/>
      </w:divBdr>
    </w:div>
    <w:div w:id="269557890">
      <w:bodyDiv w:val="1"/>
      <w:marLeft w:val="0"/>
      <w:marRight w:val="0"/>
      <w:marTop w:val="0"/>
      <w:marBottom w:val="0"/>
      <w:divBdr>
        <w:top w:val="none" w:sz="0" w:space="0" w:color="auto"/>
        <w:left w:val="none" w:sz="0" w:space="0" w:color="auto"/>
        <w:bottom w:val="none" w:sz="0" w:space="0" w:color="auto"/>
        <w:right w:val="none" w:sz="0" w:space="0" w:color="auto"/>
      </w:divBdr>
    </w:div>
    <w:div w:id="269699703">
      <w:bodyDiv w:val="1"/>
      <w:marLeft w:val="0"/>
      <w:marRight w:val="0"/>
      <w:marTop w:val="0"/>
      <w:marBottom w:val="0"/>
      <w:divBdr>
        <w:top w:val="none" w:sz="0" w:space="0" w:color="auto"/>
        <w:left w:val="none" w:sz="0" w:space="0" w:color="auto"/>
        <w:bottom w:val="none" w:sz="0" w:space="0" w:color="auto"/>
        <w:right w:val="none" w:sz="0" w:space="0" w:color="auto"/>
      </w:divBdr>
    </w:div>
    <w:div w:id="279411813">
      <w:bodyDiv w:val="1"/>
      <w:marLeft w:val="0"/>
      <w:marRight w:val="0"/>
      <w:marTop w:val="0"/>
      <w:marBottom w:val="0"/>
      <w:divBdr>
        <w:top w:val="none" w:sz="0" w:space="0" w:color="auto"/>
        <w:left w:val="none" w:sz="0" w:space="0" w:color="auto"/>
        <w:bottom w:val="none" w:sz="0" w:space="0" w:color="auto"/>
        <w:right w:val="none" w:sz="0" w:space="0" w:color="auto"/>
      </w:divBdr>
    </w:div>
    <w:div w:id="281303557">
      <w:bodyDiv w:val="1"/>
      <w:marLeft w:val="0"/>
      <w:marRight w:val="0"/>
      <w:marTop w:val="0"/>
      <w:marBottom w:val="0"/>
      <w:divBdr>
        <w:top w:val="none" w:sz="0" w:space="0" w:color="auto"/>
        <w:left w:val="none" w:sz="0" w:space="0" w:color="auto"/>
        <w:bottom w:val="none" w:sz="0" w:space="0" w:color="auto"/>
        <w:right w:val="none" w:sz="0" w:space="0" w:color="auto"/>
      </w:divBdr>
    </w:div>
    <w:div w:id="284040851">
      <w:bodyDiv w:val="1"/>
      <w:marLeft w:val="0"/>
      <w:marRight w:val="0"/>
      <w:marTop w:val="0"/>
      <w:marBottom w:val="0"/>
      <w:divBdr>
        <w:top w:val="none" w:sz="0" w:space="0" w:color="auto"/>
        <w:left w:val="none" w:sz="0" w:space="0" w:color="auto"/>
        <w:bottom w:val="none" w:sz="0" w:space="0" w:color="auto"/>
        <w:right w:val="none" w:sz="0" w:space="0" w:color="auto"/>
      </w:divBdr>
    </w:div>
    <w:div w:id="293173126">
      <w:bodyDiv w:val="1"/>
      <w:marLeft w:val="0"/>
      <w:marRight w:val="0"/>
      <w:marTop w:val="0"/>
      <w:marBottom w:val="0"/>
      <w:divBdr>
        <w:top w:val="none" w:sz="0" w:space="0" w:color="auto"/>
        <w:left w:val="none" w:sz="0" w:space="0" w:color="auto"/>
        <w:bottom w:val="none" w:sz="0" w:space="0" w:color="auto"/>
        <w:right w:val="none" w:sz="0" w:space="0" w:color="auto"/>
      </w:divBdr>
    </w:div>
    <w:div w:id="294875592">
      <w:bodyDiv w:val="1"/>
      <w:marLeft w:val="0"/>
      <w:marRight w:val="0"/>
      <w:marTop w:val="0"/>
      <w:marBottom w:val="0"/>
      <w:divBdr>
        <w:top w:val="none" w:sz="0" w:space="0" w:color="auto"/>
        <w:left w:val="none" w:sz="0" w:space="0" w:color="auto"/>
        <w:bottom w:val="none" w:sz="0" w:space="0" w:color="auto"/>
        <w:right w:val="none" w:sz="0" w:space="0" w:color="auto"/>
      </w:divBdr>
    </w:div>
    <w:div w:id="298145979">
      <w:bodyDiv w:val="1"/>
      <w:marLeft w:val="0"/>
      <w:marRight w:val="0"/>
      <w:marTop w:val="0"/>
      <w:marBottom w:val="0"/>
      <w:divBdr>
        <w:top w:val="none" w:sz="0" w:space="0" w:color="auto"/>
        <w:left w:val="none" w:sz="0" w:space="0" w:color="auto"/>
        <w:bottom w:val="none" w:sz="0" w:space="0" w:color="auto"/>
        <w:right w:val="none" w:sz="0" w:space="0" w:color="auto"/>
      </w:divBdr>
    </w:div>
    <w:div w:id="305821385">
      <w:bodyDiv w:val="1"/>
      <w:marLeft w:val="0"/>
      <w:marRight w:val="0"/>
      <w:marTop w:val="0"/>
      <w:marBottom w:val="0"/>
      <w:divBdr>
        <w:top w:val="none" w:sz="0" w:space="0" w:color="auto"/>
        <w:left w:val="none" w:sz="0" w:space="0" w:color="auto"/>
        <w:bottom w:val="none" w:sz="0" w:space="0" w:color="auto"/>
        <w:right w:val="none" w:sz="0" w:space="0" w:color="auto"/>
      </w:divBdr>
    </w:div>
    <w:div w:id="307979282">
      <w:bodyDiv w:val="1"/>
      <w:marLeft w:val="0"/>
      <w:marRight w:val="0"/>
      <w:marTop w:val="0"/>
      <w:marBottom w:val="0"/>
      <w:divBdr>
        <w:top w:val="none" w:sz="0" w:space="0" w:color="auto"/>
        <w:left w:val="none" w:sz="0" w:space="0" w:color="auto"/>
        <w:bottom w:val="none" w:sz="0" w:space="0" w:color="auto"/>
        <w:right w:val="none" w:sz="0" w:space="0" w:color="auto"/>
      </w:divBdr>
    </w:div>
    <w:div w:id="308706229">
      <w:bodyDiv w:val="1"/>
      <w:marLeft w:val="0"/>
      <w:marRight w:val="0"/>
      <w:marTop w:val="0"/>
      <w:marBottom w:val="0"/>
      <w:divBdr>
        <w:top w:val="none" w:sz="0" w:space="0" w:color="auto"/>
        <w:left w:val="none" w:sz="0" w:space="0" w:color="auto"/>
        <w:bottom w:val="none" w:sz="0" w:space="0" w:color="auto"/>
        <w:right w:val="none" w:sz="0" w:space="0" w:color="auto"/>
      </w:divBdr>
    </w:div>
    <w:div w:id="321852730">
      <w:bodyDiv w:val="1"/>
      <w:marLeft w:val="0"/>
      <w:marRight w:val="0"/>
      <w:marTop w:val="0"/>
      <w:marBottom w:val="0"/>
      <w:divBdr>
        <w:top w:val="none" w:sz="0" w:space="0" w:color="auto"/>
        <w:left w:val="none" w:sz="0" w:space="0" w:color="auto"/>
        <w:bottom w:val="none" w:sz="0" w:space="0" w:color="auto"/>
        <w:right w:val="none" w:sz="0" w:space="0" w:color="auto"/>
      </w:divBdr>
    </w:div>
    <w:div w:id="322707277">
      <w:bodyDiv w:val="1"/>
      <w:marLeft w:val="0"/>
      <w:marRight w:val="0"/>
      <w:marTop w:val="0"/>
      <w:marBottom w:val="0"/>
      <w:divBdr>
        <w:top w:val="none" w:sz="0" w:space="0" w:color="auto"/>
        <w:left w:val="none" w:sz="0" w:space="0" w:color="auto"/>
        <w:bottom w:val="none" w:sz="0" w:space="0" w:color="auto"/>
        <w:right w:val="none" w:sz="0" w:space="0" w:color="auto"/>
      </w:divBdr>
    </w:div>
    <w:div w:id="323624667">
      <w:bodyDiv w:val="1"/>
      <w:marLeft w:val="0"/>
      <w:marRight w:val="0"/>
      <w:marTop w:val="0"/>
      <w:marBottom w:val="0"/>
      <w:divBdr>
        <w:top w:val="none" w:sz="0" w:space="0" w:color="auto"/>
        <w:left w:val="none" w:sz="0" w:space="0" w:color="auto"/>
        <w:bottom w:val="none" w:sz="0" w:space="0" w:color="auto"/>
        <w:right w:val="none" w:sz="0" w:space="0" w:color="auto"/>
      </w:divBdr>
    </w:div>
    <w:div w:id="327682789">
      <w:bodyDiv w:val="1"/>
      <w:marLeft w:val="0"/>
      <w:marRight w:val="0"/>
      <w:marTop w:val="0"/>
      <w:marBottom w:val="0"/>
      <w:divBdr>
        <w:top w:val="none" w:sz="0" w:space="0" w:color="auto"/>
        <w:left w:val="none" w:sz="0" w:space="0" w:color="auto"/>
        <w:bottom w:val="none" w:sz="0" w:space="0" w:color="auto"/>
        <w:right w:val="none" w:sz="0" w:space="0" w:color="auto"/>
      </w:divBdr>
    </w:div>
    <w:div w:id="327756758">
      <w:bodyDiv w:val="1"/>
      <w:marLeft w:val="0"/>
      <w:marRight w:val="0"/>
      <w:marTop w:val="0"/>
      <w:marBottom w:val="0"/>
      <w:divBdr>
        <w:top w:val="none" w:sz="0" w:space="0" w:color="auto"/>
        <w:left w:val="none" w:sz="0" w:space="0" w:color="auto"/>
        <w:bottom w:val="none" w:sz="0" w:space="0" w:color="auto"/>
        <w:right w:val="none" w:sz="0" w:space="0" w:color="auto"/>
      </w:divBdr>
    </w:div>
    <w:div w:id="328144507">
      <w:bodyDiv w:val="1"/>
      <w:marLeft w:val="0"/>
      <w:marRight w:val="0"/>
      <w:marTop w:val="0"/>
      <w:marBottom w:val="0"/>
      <w:divBdr>
        <w:top w:val="none" w:sz="0" w:space="0" w:color="auto"/>
        <w:left w:val="none" w:sz="0" w:space="0" w:color="auto"/>
        <w:bottom w:val="none" w:sz="0" w:space="0" w:color="auto"/>
        <w:right w:val="none" w:sz="0" w:space="0" w:color="auto"/>
      </w:divBdr>
    </w:div>
    <w:div w:id="337777587">
      <w:bodyDiv w:val="1"/>
      <w:marLeft w:val="0"/>
      <w:marRight w:val="0"/>
      <w:marTop w:val="0"/>
      <w:marBottom w:val="0"/>
      <w:divBdr>
        <w:top w:val="none" w:sz="0" w:space="0" w:color="auto"/>
        <w:left w:val="none" w:sz="0" w:space="0" w:color="auto"/>
        <w:bottom w:val="none" w:sz="0" w:space="0" w:color="auto"/>
        <w:right w:val="none" w:sz="0" w:space="0" w:color="auto"/>
      </w:divBdr>
    </w:div>
    <w:div w:id="338578400">
      <w:bodyDiv w:val="1"/>
      <w:marLeft w:val="0"/>
      <w:marRight w:val="0"/>
      <w:marTop w:val="0"/>
      <w:marBottom w:val="0"/>
      <w:divBdr>
        <w:top w:val="none" w:sz="0" w:space="0" w:color="auto"/>
        <w:left w:val="none" w:sz="0" w:space="0" w:color="auto"/>
        <w:bottom w:val="none" w:sz="0" w:space="0" w:color="auto"/>
        <w:right w:val="none" w:sz="0" w:space="0" w:color="auto"/>
      </w:divBdr>
    </w:div>
    <w:div w:id="340157223">
      <w:bodyDiv w:val="1"/>
      <w:marLeft w:val="0"/>
      <w:marRight w:val="0"/>
      <w:marTop w:val="0"/>
      <w:marBottom w:val="0"/>
      <w:divBdr>
        <w:top w:val="none" w:sz="0" w:space="0" w:color="auto"/>
        <w:left w:val="none" w:sz="0" w:space="0" w:color="auto"/>
        <w:bottom w:val="none" w:sz="0" w:space="0" w:color="auto"/>
        <w:right w:val="none" w:sz="0" w:space="0" w:color="auto"/>
      </w:divBdr>
    </w:div>
    <w:div w:id="343745872">
      <w:bodyDiv w:val="1"/>
      <w:marLeft w:val="0"/>
      <w:marRight w:val="0"/>
      <w:marTop w:val="0"/>
      <w:marBottom w:val="0"/>
      <w:divBdr>
        <w:top w:val="none" w:sz="0" w:space="0" w:color="auto"/>
        <w:left w:val="none" w:sz="0" w:space="0" w:color="auto"/>
        <w:bottom w:val="none" w:sz="0" w:space="0" w:color="auto"/>
        <w:right w:val="none" w:sz="0" w:space="0" w:color="auto"/>
      </w:divBdr>
    </w:div>
    <w:div w:id="353653888">
      <w:bodyDiv w:val="1"/>
      <w:marLeft w:val="0"/>
      <w:marRight w:val="0"/>
      <w:marTop w:val="0"/>
      <w:marBottom w:val="0"/>
      <w:divBdr>
        <w:top w:val="none" w:sz="0" w:space="0" w:color="auto"/>
        <w:left w:val="none" w:sz="0" w:space="0" w:color="auto"/>
        <w:bottom w:val="none" w:sz="0" w:space="0" w:color="auto"/>
        <w:right w:val="none" w:sz="0" w:space="0" w:color="auto"/>
      </w:divBdr>
    </w:div>
    <w:div w:id="357856255">
      <w:bodyDiv w:val="1"/>
      <w:marLeft w:val="0"/>
      <w:marRight w:val="0"/>
      <w:marTop w:val="0"/>
      <w:marBottom w:val="0"/>
      <w:divBdr>
        <w:top w:val="none" w:sz="0" w:space="0" w:color="auto"/>
        <w:left w:val="none" w:sz="0" w:space="0" w:color="auto"/>
        <w:bottom w:val="none" w:sz="0" w:space="0" w:color="auto"/>
        <w:right w:val="none" w:sz="0" w:space="0" w:color="auto"/>
      </w:divBdr>
    </w:div>
    <w:div w:id="361251190">
      <w:bodyDiv w:val="1"/>
      <w:marLeft w:val="0"/>
      <w:marRight w:val="0"/>
      <w:marTop w:val="0"/>
      <w:marBottom w:val="0"/>
      <w:divBdr>
        <w:top w:val="none" w:sz="0" w:space="0" w:color="auto"/>
        <w:left w:val="none" w:sz="0" w:space="0" w:color="auto"/>
        <w:bottom w:val="none" w:sz="0" w:space="0" w:color="auto"/>
        <w:right w:val="none" w:sz="0" w:space="0" w:color="auto"/>
      </w:divBdr>
    </w:div>
    <w:div w:id="362944158">
      <w:bodyDiv w:val="1"/>
      <w:marLeft w:val="0"/>
      <w:marRight w:val="0"/>
      <w:marTop w:val="0"/>
      <w:marBottom w:val="0"/>
      <w:divBdr>
        <w:top w:val="none" w:sz="0" w:space="0" w:color="auto"/>
        <w:left w:val="none" w:sz="0" w:space="0" w:color="auto"/>
        <w:bottom w:val="none" w:sz="0" w:space="0" w:color="auto"/>
        <w:right w:val="none" w:sz="0" w:space="0" w:color="auto"/>
      </w:divBdr>
    </w:div>
    <w:div w:id="367492062">
      <w:bodyDiv w:val="1"/>
      <w:marLeft w:val="0"/>
      <w:marRight w:val="0"/>
      <w:marTop w:val="0"/>
      <w:marBottom w:val="0"/>
      <w:divBdr>
        <w:top w:val="none" w:sz="0" w:space="0" w:color="auto"/>
        <w:left w:val="none" w:sz="0" w:space="0" w:color="auto"/>
        <w:bottom w:val="none" w:sz="0" w:space="0" w:color="auto"/>
        <w:right w:val="none" w:sz="0" w:space="0" w:color="auto"/>
      </w:divBdr>
    </w:div>
    <w:div w:id="370351838">
      <w:bodyDiv w:val="1"/>
      <w:marLeft w:val="0"/>
      <w:marRight w:val="0"/>
      <w:marTop w:val="0"/>
      <w:marBottom w:val="0"/>
      <w:divBdr>
        <w:top w:val="none" w:sz="0" w:space="0" w:color="auto"/>
        <w:left w:val="none" w:sz="0" w:space="0" w:color="auto"/>
        <w:bottom w:val="none" w:sz="0" w:space="0" w:color="auto"/>
        <w:right w:val="none" w:sz="0" w:space="0" w:color="auto"/>
      </w:divBdr>
    </w:div>
    <w:div w:id="380637781">
      <w:bodyDiv w:val="1"/>
      <w:marLeft w:val="0"/>
      <w:marRight w:val="0"/>
      <w:marTop w:val="0"/>
      <w:marBottom w:val="0"/>
      <w:divBdr>
        <w:top w:val="none" w:sz="0" w:space="0" w:color="auto"/>
        <w:left w:val="none" w:sz="0" w:space="0" w:color="auto"/>
        <w:bottom w:val="none" w:sz="0" w:space="0" w:color="auto"/>
        <w:right w:val="none" w:sz="0" w:space="0" w:color="auto"/>
      </w:divBdr>
      <w:divsChild>
        <w:div w:id="423065689">
          <w:marLeft w:val="0"/>
          <w:marRight w:val="0"/>
          <w:marTop w:val="0"/>
          <w:marBottom w:val="0"/>
          <w:divBdr>
            <w:top w:val="none" w:sz="0" w:space="0" w:color="auto"/>
            <w:left w:val="none" w:sz="0" w:space="0" w:color="auto"/>
            <w:bottom w:val="none" w:sz="0" w:space="0" w:color="auto"/>
            <w:right w:val="none" w:sz="0" w:space="0" w:color="auto"/>
          </w:divBdr>
        </w:div>
        <w:div w:id="1697728183">
          <w:marLeft w:val="0"/>
          <w:marRight w:val="0"/>
          <w:marTop w:val="0"/>
          <w:marBottom w:val="0"/>
          <w:divBdr>
            <w:top w:val="none" w:sz="0" w:space="0" w:color="auto"/>
            <w:left w:val="none" w:sz="0" w:space="0" w:color="auto"/>
            <w:bottom w:val="none" w:sz="0" w:space="0" w:color="auto"/>
            <w:right w:val="none" w:sz="0" w:space="0" w:color="auto"/>
          </w:divBdr>
        </w:div>
        <w:div w:id="1902868165">
          <w:marLeft w:val="0"/>
          <w:marRight w:val="0"/>
          <w:marTop w:val="0"/>
          <w:marBottom w:val="0"/>
          <w:divBdr>
            <w:top w:val="none" w:sz="0" w:space="0" w:color="auto"/>
            <w:left w:val="none" w:sz="0" w:space="0" w:color="auto"/>
            <w:bottom w:val="none" w:sz="0" w:space="0" w:color="auto"/>
            <w:right w:val="none" w:sz="0" w:space="0" w:color="auto"/>
          </w:divBdr>
        </w:div>
      </w:divsChild>
    </w:div>
    <w:div w:id="381446870">
      <w:bodyDiv w:val="1"/>
      <w:marLeft w:val="0"/>
      <w:marRight w:val="0"/>
      <w:marTop w:val="0"/>
      <w:marBottom w:val="0"/>
      <w:divBdr>
        <w:top w:val="none" w:sz="0" w:space="0" w:color="auto"/>
        <w:left w:val="none" w:sz="0" w:space="0" w:color="auto"/>
        <w:bottom w:val="none" w:sz="0" w:space="0" w:color="auto"/>
        <w:right w:val="none" w:sz="0" w:space="0" w:color="auto"/>
      </w:divBdr>
    </w:div>
    <w:div w:id="386343501">
      <w:bodyDiv w:val="1"/>
      <w:marLeft w:val="0"/>
      <w:marRight w:val="0"/>
      <w:marTop w:val="0"/>
      <w:marBottom w:val="0"/>
      <w:divBdr>
        <w:top w:val="none" w:sz="0" w:space="0" w:color="auto"/>
        <w:left w:val="none" w:sz="0" w:space="0" w:color="auto"/>
        <w:bottom w:val="none" w:sz="0" w:space="0" w:color="auto"/>
        <w:right w:val="none" w:sz="0" w:space="0" w:color="auto"/>
      </w:divBdr>
    </w:div>
    <w:div w:id="392387114">
      <w:bodyDiv w:val="1"/>
      <w:marLeft w:val="0"/>
      <w:marRight w:val="0"/>
      <w:marTop w:val="0"/>
      <w:marBottom w:val="0"/>
      <w:divBdr>
        <w:top w:val="none" w:sz="0" w:space="0" w:color="auto"/>
        <w:left w:val="none" w:sz="0" w:space="0" w:color="auto"/>
        <w:bottom w:val="none" w:sz="0" w:space="0" w:color="auto"/>
        <w:right w:val="none" w:sz="0" w:space="0" w:color="auto"/>
      </w:divBdr>
    </w:div>
    <w:div w:id="394469499">
      <w:bodyDiv w:val="1"/>
      <w:marLeft w:val="0"/>
      <w:marRight w:val="0"/>
      <w:marTop w:val="0"/>
      <w:marBottom w:val="0"/>
      <w:divBdr>
        <w:top w:val="none" w:sz="0" w:space="0" w:color="auto"/>
        <w:left w:val="none" w:sz="0" w:space="0" w:color="auto"/>
        <w:bottom w:val="none" w:sz="0" w:space="0" w:color="auto"/>
        <w:right w:val="none" w:sz="0" w:space="0" w:color="auto"/>
      </w:divBdr>
    </w:div>
    <w:div w:id="397630161">
      <w:bodyDiv w:val="1"/>
      <w:marLeft w:val="0"/>
      <w:marRight w:val="0"/>
      <w:marTop w:val="0"/>
      <w:marBottom w:val="0"/>
      <w:divBdr>
        <w:top w:val="none" w:sz="0" w:space="0" w:color="auto"/>
        <w:left w:val="none" w:sz="0" w:space="0" w:color="auto"/>
        <w:bottom w:val="none" w:sz="0" w:space="0" w:color="auto"/>
        <w:right w:val="none" w:sz="0" w:space="0" w:color="auto"/>
      </w:divBdr>
    </w:div>
    <w:div w:id="404377452">
      <w:bodyDiv w:val="1"/>
      <w:marLeft w:val="0"/>
      <w:marRight w:val="0"/>
      <w:marTop w:val="0"/>
      <w:marBottom w:val="0"/>
      <w:divBdr>
        <w:top w:val="none" w:sz="0" w:space="0" w:color="auto"/>
        <w:left w:val="none" w:sz="0" w:space="0" w:color="auto"/>
        <w:bottom w:val="none" w:sz="0" w:space="0" w:color="auto"/>
        <w:right w:val="none" w:sz="0" w:space="0" w:color="auto"/>
      </w:divBdr>
    </w:div>
    <w:div w:id="429589742">
      <w:bodyDiv w:val="1"/>
      <w:marLeft w:val="0"/>
      <w:marRight w:val="0"/>
      <w:marTop w:val="0"/>
      <w:marBottom w:val="0"/>
      <w:divBdr>
        <w:top w:val="none" w:sz="0" w:space="0" w:color="auto"/>
        <w:left w:val="none" w:sz="0" w:space="0" w:color="auto"/>
        <w:bottom w:val="none" w:sz="0" w:space="0" w:color="auto"/>
        <w:right w:val="none" w:sz="0" w:space="0" w:color="auto"/>
      </w:divBdr>
    </w:div>
    <w:div w:id="430900490">
      <w:bodyDiv w:val="1"/>
      <w:marLeft w:val="0"/>
      <w:marRight w:val="0"/>
      <w:marTop w:val="0"/>
      <w:marBottom w:val="0"/>
      <w:divBdr>
        <w:top w:val="none" w:sz="0" w:space="0" w:color="auto"/>
        <w:left w:val="none" w:sz="0" w:space="0" w:color="auto"/>
        <w:bottom w:val="none" w:sz="0" w:space="0" w:color="auto"/>
        <w:right w:val="none" w:sz="0" w:space="0" w:color="auto"/>
      </w:divBdr>
    </w:div>
    <w:div w:id="433324710">
      <w:bodyDiv w:val="1"/>
      <w:marLeft w:val="0"/>
      <w:marRight w:val="0"/>
      <w:marTop w:val="0"/>
      <w:marBottom w:val="0"/>
      <w:divBdr>
        <w:top w:val="none" w:sz="0" w:space="0" w:color="auto"/>
        <w:left w:val="none" w:sz="0" w:space="0" w:color="auto"/>
        <w:bottom w:val="none" w:sz="0" w:space="0" w:color="auto"/>
        <w:right w:val="none" w:sz="0" w:space="0" w:color="auto"/>
      </w:divBdr>
    </w:div>
    <w:div w:id="440302848">
      <w:bodyDiv w:val="1"/>
      <w:marLeft w:val="0"/>
      <w:marRight w:val="0"/>
      <w:marTop w:val="0"/>
      <w:marBottom w:val="0"/>
      <w:divBdr>
        <w:top w:val="none" w:sz="0" w:space="0" w:color="auto"/>
        <w:left w:val="none" w:sz="0" w:space="0" w:color="auto"/>
        <w:bottom w:val="none" w:sz="0" w:space="0" w:color="auto"/>
        <w:right w:val="none" w:sz="0" w:space="0" w:color="auto"/>
      </w:divBdr>
    </w:div>
    <w:div w:id="444082145">
      <w:bodyDiv w:val="1"/>
      <w:marLeft w:val="0"/>
      <w:marRight w:val="0"/>
      <w:marTop w:val="0"/>
      <w:marBottom w:val="0"/>
      <w:divBdr>
        <w:top w:val="none" w:sz="0" w:space="0" w:color="auto"/>
        <w:left w:val="none" w:sz="0" w:space="0" w:color="auto"/>
        <w:bottom w:val="none" w:sz="0" w:space="0" w:color="auto"/>
        <w:right w:val="none" w:sz="0" w:space="0" w:color="auto"/>
      </w:divBdr>
    </w:div>
    <w:div w:id="445121191">
      <w:bodyDiv w:val="1"/>
      <w:marLeft w:val="0"/>
      <w:marRight w:val="0"/>
      <w:marTop w:val="0"/>
      <w:marBottom w:val="0"/>
      <w:divBdr>
        <w:top w:val="none" w:sz="0" w:space="0" w:color="auto"/>
        <w:left w:val="none" w:sz="0" w:space="0" w:color="auto"/>
        <w:bottom w:val="none" w:sz="0" w:space="0" w:color="auto"/>
        <w:right w:val="none" w:sz="0" w:space="0" w:color="auto"/>
      </w:divBdr>
    </w:div>
    <w:div w:id="447429014">
      <w:bodyDiv w:val="1"/>
      <w:marLeft w:val="0"/>
      <w:marRight w:val="0"/>
      <w:marTop w:val="0"/>
      <w:marBottom w:val="0"/>
      <w:divBdr>
        <w:top w:val="none" w:sz="0" w:space="0" w:color="auto"/>
        <w:left w:val="none" w:sz="0" w:space="0" w:color="auto"/>
        <w:bottom w:val="none" w:sz="0" w:space="0" w:color="auto"/>
        <w:right w:val="none" w:sz="0" w:space="0" w:color="auto"/>
      </w:divBdr>
    </w:div>
    <w:div w:id="450176701">
      <w:bodyDiv w:val="1"/>
      <w:marLeft w:val="0"/>
      <w:marRight w:val="0"/>
      <w:marTop w:val="0"/>
      <w:marBottom w:val="0"/>
      <w:divBdr>
        <w:top w:val="none" w:sz="0" w:space="0" w:color="auto"/>
        <w:left w:val="none" w:sz="0" w:space="0" w:color="auto"/>
        <w:bottom w:val="none" w:sz="0" w:space="0" w:color="auto"/>
        <w:right w:val="none" w:sz="0" w:space="0" w:color="auto"/>
      </w:divBdr>
    </w:div>
    <w:div w:id="452216338">
      <w:bodyDiv w:val="1"/>
      <w:marLeft w:val="0"/>
      <w:marRight w:val="0"/>
      <w:marTop w:val="0"/>
      <w:marBottom w:val="0"/>
      <w:divBdr>
        <w:top w:val="none" w:sz="0" w:space="0" w:color="auto"/>
        <w:left w:val="none" w:sz="0" w:space="0" w:color="auto"/>
        <w:bottom w:val="none" w:sz="0" w:space="0" w:color="auto"/>
        <w:right w:val="none" w:sz="0" w:space="0" w:color="auto"/>
      </w:divBdr>
    </w:div>
    <w:div w:id="452673288">
      <w:bodyDiv w:val="1"/>
      <w:marLeft w:val="0"/>
      <w:marRight w:val="0"/>
      <w:marTop w:val="0"/>
      <w:marBottom w:val="0"/>
      <w:divBdr>
        <w:top w:val="none" w:sz="0" w:space="0" w:color="auto"/>
        <w:left w:val="none" w:sz="0" w:space="0" w:color="auto"/>
        <w:bottom w:val="none" w:sz="0" w:space="0" w:color="auto"/>
        <w:right w:val="none" w:sz="0" w:space="0" w:color="auto"/>
      </w:divBdr>
    </w:div>
    <w:div w:id="455297019">
      <w:bodyDiv w:val="1"/>
      <w:marLeft w:val="0"/>
      <w:marRight w:val="0"/>
      <w:marTop w:val="0"/>
      <w:marBottom w:val="0"/>
      <w:divBdr>
        <w:top w:val="none" w:sz="0" w:space="0" w:color="auto"/>
        <w:left w:val="none" w:sz="0" w:space="0" w:color="auto"/>
        <w:bottom w:val="none" w:sz="0" w:space="0" w:color="auto"/>
        <w:right w:val="none" w:sz="0" w:space="0" w:color="auto"/>
      </w:divBdr>
    </w:div>
    <w:div w:id="462965340">
      <w:bodyDiv w:val="1"/>
      <w:marLeft w:val="0"/>
      <w:marRight w:val="0"/>
      <w:marTop w:val="0"/>
      <w:marBottom w:val="0"/>
      <w:divBdr>
        <w:top w:val="none" w:sz="0" w:space="0" w:color="auto"/>
        <w:left w:val="none" w:sz="0" w:space="0" w:color="auto"/>
        <w:bottom w:val="none" w:sz="0" w:space="0" w:color="auto"/>
        <w:right w:val="none" w:sz="0" w:space="0" w:color="auto"/>
      </w:divBdr>
    </w:div>
    <w:div w:id="467088346">
      <w:bodyDiv w:val="1"/>
      <w:marLeft w:val="0"/>
      <w:marRight w:val="0"/>
      <w:marTop w:val="0"/>
      <w:marBottom w:val="0"/>
      <w:divBdr>
        <w:top w:val="none" w:sz="0" w:space="0" w:color="auto"/>
        <w:left w:val="none" w:sz="0" w:space="0" w:color="auto"/>
        <w:bottom w:val="none" w:sz="0" w:space="0" w:color="auto"/>
        <w:right w:val="none" w:sz="0" w:space="0" w:color="auto"/>
      </w:divBdr>
    </w:div>
    <w:div w:id="473563841">
      <w:bodyDiv w:val="1"/>
      <w:marLeft w:val="0"/>
      <w:marRight w:val="0"/>
      <w:marTop w:val="0"/>
      <w:marBottom w:val="0"/>
      <w:divBdr>
        <w:top w:val="none" w:sz="0" w:space="0" w:color="auto"/>
        <w:left w:val="none" w:sz="0" w:space="0" w:color="auto"/>
        <w:bottom w:val="none" w:sz="0" w:space="0" w:color="auto"/>
        <w:right w:val="none" w:sz="0" w:space="0" w:color="auto"/>
      </w:divBdr>
    </w:div>
    <w:div w:id="476803783">
      <w:bodyDiv w:val="1"/>
      <w:marLeft w:val="0"/>
      <w:marRight w:val="0"/>
      <w:marTop w:val="0"/>
      <w:marBottom w:val="0"/>
      <w:divBdr>
        <w:top w:val="none" w:sz="0" w:space="0" w:color="auto"/>
        <w:left w:val="none" w:sz="0" w:space="0" w:color="auto"/>
        <w:bottom w:val="none" w:sz="0" w:space="0" w:color="auto"/>
        <w:right w:val="none" w:sz="0" w:space="0" w:color="auto"/>
      </w:divBdr>
    </w:div>
    <w:div w:id="477845694">
      <w:bodyDiv w:val="1"/>
      <w:marLeft w:val="0"/>
      <w:marRight w:val="0"/>
      <w:marTop w:val="0"/>
      <w:marBottom w:val="0"/>
      <w:divBdr>
        <w:top w:val="none" w:sz="0" w:space="0" w:color="auto"/>
        <w:left w:val="none" w:sz="0" w:space="0" w:color="auto"/>
        <w:bottom w:val="none" w:sz="0" w:space="0" w:color="auto"/>
        <w:right w:val="none" w:sz="0" w:space="0" w:color="auto"/>
      </w:divBdr>
    </w:div>
    <w:div w:id="479805294">
      <w:bodyDiv w:val="1"/>
      <w:marLeft w:val="0"/>
      <w:marRight w:val="0"/>
      <w:marTop w:val="0"/>
      <w:marBottom w:val="0"/>
      <w:divBdr>
        <w:top w:val="none" w:sz="0" w:space="0" w:color="auto"/>
        <w:left w:val="none" w:sz="0" w:space="0" w:color="auto"/>
        <w:bottom w:val="none" w:sz="0" w:space="0" w:color="auto"/>
        <w:right w:val="none" w:sz="0" w:space="0" w:color="auto"/>
      </w:divBdr>
    </w:div>
    <w:div w:id="485972684">
      <w:bodyDiv w:val="1"/>
      <w:marLeft w:val="0"/>
      <w:marRight w:val="0"/>
      <w:marTop w:val="0"/>
      <w:marBottom w:val="0"/>
      <w:divBdr>
        <w:top w:val="none" w:sz="0" w:space="0" w:color="auto"/>
        <w:left w:val="none" w:sz="0" w:space="0" w:color="auto"/>
        <w:bottom w:val="none" w:sz="0" w:space="0" w:color="auto"/>
        <w:right w:val="none" w:sz="0" w:space="0" w:color="auto"/>
      </w:divBdr>
    </w:div>
    <w:div w:id="492523699">
      <w:bodyDiv w:val="1"/>
      <w:marLeft w:val="0"/>
      <w:marRight w:val="0"/>
      <w:marTop w:val="0"/>
      <w:marBottom w:val="0"/>
      <w:divBdr>
        <w:top w:val="none" w:sz="0" w:space="0" w:color="auto"/>
        <w:left w:val="none" w:sz="0" w:space="0" w:color="auto"/>
        <w:bottom w:val="none" w:sz="0" w:space="0" w:color="auto"/>
        <w:right w:val="none" w:sz="0" w:space="0" w:color="auto"/>
      </w:divBdr>
    </w:div>
    <w:div w:id="494029889">
      <w:bodyDiv w:val="1"/>
      <w:marLeft w:val="0"/>
      <w:marRight w:val="0"/>
      <w:marTop w:val="0"/>
      <w:marBottom w:val="0"/>
      <w:divBdr>
        <w:top w:val="none" w:sz="0" w:space="0" w:color="auto"/>
        <w:left w:val="none" w:sz="0" w:space="0" w:color="auto"/>
        <w:bottom w:val="none" w:sz="0" w:space="0" w:color="auto"/>
        <w:right w:val="none" w:sz="0" w:space="0" w:color="auto"/>
      </w:divBdr>
    </w:div>
    <w:div w:id="495192961">
      <w:bodyDiv w:val="1"/>
      <w:marLeft w:val="0"/>
      <w:marRight w:val="0"/>
      <w:marTop w:val="0"/>
      <w:marBottom w:val="0"/>
      <w:divBdr>
        <w:top w:val="none" w:sz="0" w:space="0" w:color="auto"/>
        <w:left w:val="none" w:sz="0" w:space="0" w:color="auto"/>
        <w:bottom w:val="none" w:sz="0" w:space="0" w:color="auto"/>
        <w:right w:val="none" w:sz="0" w:space="0" w:color="auto"/>
      </w:divBdr>
    </w:div>
    <w:div w:id="496576823">
      <w:bodyDiv w:val="1"/>
      <w:marLeft w:val="0"/>
      <w:marRight w:val="0"/>
      <w:marTop w:val="0"/>
      <w:marBottom w:val="0"/>
      <w:divBdr>
        <w:top w:val="none" w:sz="0" w:space="0" w:color="auto"/>
        <w:left w:val="none" w:sz="0" w:space="0" w:color="auto"/>
        <w:bottom w:val="none" w:sz="0" w:space="0" w:color="auto"/>
        <w:right w:val="none" w:sz="0" w:space="0" w:color="auto"/>
      </w:divBdr>
    </w:div>
    <w:div w:id="499345189">
      <w:bodyDiv w:val="1"/>
      <w:marLeft w:val="0"/>
      <w:marRight w:val="0"/>
      <w:marTop w:val="0"/>
      <w:marBottom w:val="0"/>
      <w:divBdr>
        <w:top w:val="none" w:sz="0" w:space="0" w:color="auto"/>
        <w:left w:val="none" w:sz="0" w:space="0" w:color="auto"/>
        <w:bottom w:val="none" w:sz="0" w:space="0" w:color="auto"/>
        <w:right w:val="none" w:sz="0" w:space="0" w:color="auto"/>
      </w:divBdr>
    </w:div>
    <w:div w:id="501512365">
      <w:bodyDiv w:val="1"/>
      <w:marLeft w:val="0"/>
      <w:marRight w:val="0"/>
      <w:marTop w:val="0"/>
      <w:marBottom w:val="0"/>
      <w:divBdr>
        <w:top w:val="none" w:sz="0" w:space="0" w:color="auto"/>
        <w:left w:val="none" w:sz="0" w:space="0" w:color="auto"/>
        <w:bottom w:val="none" w:sz="0" w:space="0" w:color="auto"/>
        <w:right w:val="none" w:sz="0" w:space="0" w:color="auto"/>
      </w:divBdr>
    </w:div>
    <w:div w:id="505948706">
      <w:bodyDiv w:val="1"/>
      <w:marLeft w:val="0"/>
      <w:marRight w:val="0"/>
      <w:marTop w:val="0"/>
      <w:marBottom w:val="0"/>
      <w:divBdr>
        <w:top w:val="none" w:sz="0" w:space="0" w:color="auto"/>
        <w:left w:val="none" w:sz="0" w:space="0" w:color="auto"/>
        <w:bottom w:val="none" w:sz="0" w:space="0" w:color="auto"/>
        <w:right w:val="none" w:sz="0" w:space="0" w:color="auto"/>
      </w:divBdr>
    </w:div>
    <w:div w:id="506746575">
      <w:bodyDiv w:val="1"/>
      <w:marLeft w:val="0"/>
      <w:marRight w:val="0"/>
      <w:marTop w:val="0"/>
      <w:marBottom w:val="0"/>
      <w:divBdr>
        <w:top w:val="none" w:sz="0" w:space="0" w:color="auto"/>
        <w:left w:val="none" w:sz="0" w:space="0" w:color="auto"/>
        <w:bottom w:val="none" w:sz="0" w:space="0" w:color="auto"/>
        <w:right w:val="none" w:sz="0" w:space="0" w:color="auto"/>
      </w:divBdr>
    </w:div>
    <w:div w:id="507523056">
      <w:bodyDiv w:val="1"/>
      <w:marLeft w:val="0"/>
      <w:marRight w:val="0"/>
      <w:marTop w:val="0"/>
      <w:marBottom w:val="0"/>
      <w:divBdr>
        <w:top w:val="none" w:sz="0" w:space="0" w:color="auto"/>
        <w:left w:val="none" w:sz="0" w:space="0" w:color="auto"/>
        <w:bottom w:val="none" w:sz="0" w:space="0" w:color="auto"/>
        <w:right w:val="none" w:sz="0" w:space="0" w:color="auto"/>
      </w:divBdr>
    </w:div>
    <w:div w:id="521939836">
      <w:bodyDiv w:val="1"/>
      <w:marLeft w:val="0"/>
      <w:marRight w:val="0"/>
      <w:marTop w:val="0"/>
      <w:marBottom w:val="0"/>
      <w:divBdr>
        <w:top w:val="none" w:sz="0" w:space="0" w:color="auto"/>
        <w:left w:val="none" w:sz="0" w:space="0" w:color="auto"/>
        <w:bottom w:val="none" w:sz="0" w:space="0" w:color="auto"/>
        <w:right w:val="none" w:sz="0" w:space="0" w:color="auto"/>
      </w:divBdr>
    </w:div>
    <w:div w:id="525682700">
      <w:bodyDiv w:val="1"/>
      <w:marLeft w:val="0"/>
      <w:marRight w:val="0"/>
      <w:marTop w:val="0"/>
      <w:marBottom w:val="0"/>
      <w:divBdr>
        <w:top w:val="none" w:sz="0" w:space="0" w:color="auto"/>
        <w:left w:val="none" w:sz="0" w:space="0" w:color="auto"/>
        <w:bottom w:val="none" w:sz="0" w:space="0" w:color="auto"/>
        <w:right w:val="none" w:sz="0" w:space="0" w:color="auto"/>
      </w:divBdr>
    </w:div>
    <w:div w:id="525874926">
      <w:bodyDiv w:val="1"/>
      <w:marLeft w:val="0"/>
      <w:marRight w:val="0"/>
      <w:marTop w:val="0"/>
      <w:marBottom w:val="0"/>
      <w:divBdr>
        <w:top w:val="none" w:sz="0" w:space="0" w:color="auto"/>
        <w:left w:val="none" w:sz="0" w:space="0" w:color="auto"/>
        <w:bottom w:val="none" w:sz="0" w:space="0" w:color="auto"/>
        <w:right w:val="none" w:sz="0" w:space="0" w:color="auto"/>
      </w:divBdr>
    </w:div>
    <w:div w:id="530067227">
      <w:bodyDiv w:val="1"/>
      <w:marLeft w:val="0"/>
      <w:marRight w:val="0"/>
      <w:marTop w:val="0"/>
      <w:marBottom w:val="0"/>
      <w:divBdr>
        <w:top w:val="none" w:sz="0" w:space="0" w:color="auto"/>
        <w:left w:val="none" w:sz="0" w:space="0" w:color="auto"/>
        <w:bottom w:val="none" w:sz="0" w:space="0" w:color="auto"/>
        <w:right w:val="none" w:sz="0" w:space="0" w:color="auto"/>
      </w:divBdr>
    </w:div>
    <w:div w:id="540245743">
      <w:bodyDiv w:val="1"/>
      <w:marLeft w:val="0"/>
      <w:marRight w:val="0"/>
      <w:marTop w:val="0"/>
      <w:marBottom w:val="0"/>
      <w:divBdr>
        <w:top w:val="none" w:sz="0" w:space="0" w:color="auto"/>
        <w:left w:val="none" w:sz="0" w:space="0" w:color="auto"/>
        <w:bottom w:val="none" w:sz="0" w:space="0" w:color="auto"/>
        <w:right w:val="none" w:sz="0" w:space="0" w:color="auto"/>
      </w:divBdr>
    </w:div>
    <w:div w:id="544215607">
      <w:bodyDiv w:val="1"/>
      <w:marLeft w:val="0"/>
      <w:marRight w:val="0"/>
      <w:marTop w:val="0"/>
      <w:marBottom w:val="0"/>
      <w:divBdr>
        <w:top w:val="none" w:sz="0" w:space="0" w:color="auto"/>
        <w:left w:val="none" w:sz="0" w:space="0" w:color="auto"/>
        <w:bottom w:val="none" w:sz="0" w:space="0" w:color="auto"/>
        <w:right w:val="none" w:sz="0" w:space="0" w:color="auto"/>
      </w:divBdr>
    </w:div>
    <w:div w:id="551507242">
      <w:bodyDiv w:val="1"/>
      <w:marLeft w:val="0"/>
      <w:marRight w:val="0"/>
      <w:marTop w:val="0"/>
      <w:marBottom w:val="0"/>
      <w:divBdr>
        <w:top w:val="none" w:sz="0" w:space="0" w:color="auto"/>
        <w:left w:val="none" w:sz="0" w:space="0" w:color="auto"/>
        <w:bottom w:val="none" w:sz="0" w:space="0" w:color="auto"/>
        <w:right w:val="none" w:sz="0" w:space="0" w:color="auto"/>
      </w:divBdr>
    </w:div>
    <w:div w:id="552277152">
      <w:bodyDiv w:val="1"/>
      <w:marLeft w:val="0"/>
      <w:marRight w:val="0"/>
      <w:marTop w:val="0"/>
      <w:marBottom w:val="0"/>
      <w:divBdr>
        <w:top w:val="none" w:sz="0" w:space="0" w:color="auto"/>
        <w:left w:val="none" w:sz="0" w:space="0" w:color="auto"/>
        <w:bottom w:val="none" w:sz="0" w:space="0" w:color="auto"/>
        <w:right w:val="none" w:sz="0" w:space="0" w:color="auto"/>
      </w:divBdr>
    </w:div>
    <w:div w:id="569343262">
      <w:bodyDiv w:val="1"/>
      <w:marLeft w:val="0"/>
      <w:marRight w:val="0"/>
      <w:marTop w:val="0"/>
      <w:marBottom w:val="0"/>
      <w:divBdr>
        <w:top w:val="none" w:sz="0" w:space="0" w:color="auto"/>
        <w:left w:val="none" w:sz="0" w:space="0" w:color="auto"/>
        <w:bottom w:val="none" w:sz="0" w:space="0" w:color="auto"/>
        <w:right w:val="none" w:sz="0" w:space="0" w:color="auto"/>
      </w:divBdr>
    </w:div>
    <w:div w:id="575283250">
      <w:bodyDiv w:val="1"/>
      <w:marLeft w:val="0"/>
      <w:marRight w:val="0"/>
      <w:marTop w:val="0"/>
      <w:marBottom w:val="0"/>
      <w:divBdr>
        <w:top w:val="none" w:sz="0" w:space="0" w:color="auto"/>
        <w:left w:val="none" w:sz="0" w:space="0" w:color="auto"/>
        <w:bottom w:val="none" w:sz="0" w:space="0" w:color="auto"/>
        <w:right w:val="none" w:sz="0" w:space="0" w:color="auto"/>
      </w:divBdr>
    </w:div>
    <w:div w:id="579098282">
      <w:bodyDiv w:val="1"/>
      <w:marLeft w:val="0"/>
      <w:marRight w:val="0"/>
      <w:marTop w:val="0"/>
      <w:marBottom w:val="0"/>
      <w:divBdr>
        <w:top w:val="none" w:sz="0" w:space="0" w:color="auto"/>
        <w:left w:val="none" w:sz="0" w:space="0" w:color="auto"/>
        <w:bottom w:val="none" w:sz="0" w:space="0" w:color="auto"/>
        <w:right w:val="none" w:sz="0" w:space="0" w:color="auto"/>
      </w:divBdr>
    </w:div>
    <w:div w:id="579413216">
      <w:bodyDiv w:val="1"/>
      <w:marLeft w:val="0"/>
      <w:marRight w:val="0"/>
      <w:marTop w:val="0"/>
      <w:marBottom w:val="0"/>
      <w:divBdr>
        <w:top w:val="none" w:sz="0" w:space="0" w:color="auto"/>
        <w:left w:val="none" w:sz="0" w:space="0" w:color="auto"/>
        <w:bottom w:val="none" w:sz="0" w:space="0" w:color="auto"/>
        <w:right w:val="none" w:sz="0" w:space="0" w:color="auto"/>
      </w:divBdr>
    </w:div>
    <w:div w:id="579557168">
      <w:bodyDiv w:val="1"/>
      <w:marLeft w:val="0"/>
      <w:marRight w:val="0"/>
      <w:marTop w:val="0"/>
      <w:marBottom w:val="0"/>
      <w:divBdr>
        <w:top w:val="none" w:sz="0" w:space="0" w:color="auto"/>
        <w:left w:val="none" w:sz="0" w:space="0" w:color="auto"/>
        <w:bottom w:val="none" w:sz="0" w:space="0" w:color="auto"/>
        <w:right w:val="none" w:sz="0" w:space="0" w:color="auto"/>
      </w:divBdr>
    </w:div>
    <w:div w:id="592470204">
      <w:bodyDiv w:val="1"/>
      <w:marLeft w:val="0"/>
      <w:marRight w:val="0"/>
      <w:marTop w:val="0"/>
      <w:marBottom w:val="0"/>
      <w:divBdr>
        <w:top w:val="none" w:sz="0" w:space="0" w:color="auto"/>
        <w:left w:val="none" w:sz="0" w:space="0" w:color="auto"/>
        <w:bottom w:val="none" w:sz="0" w:space="0" w:color="auto"/>
        <w:right w:val="none" w:sz="0" w:space="0" w:color="auto"/>
      </w:divBdr>
    </w:div>
    <w:div w:id="600988124">
      <w:bodyDiv w:val="1"/>
      <w:marLeft w:val="0"/>
      <w:marRight w:val="0"/>
      <w:marTop w:val="0"/>
      <w:marBottom w:val="0"/>
      <w:divBdr>
        <w:top w:val="none" w:sz="0" w:space="0" w:color="auto"/>
        <w:left w:val="none" w:sz="0" w:space="0" w:color="auto"/>
        <w:bottom w:val="none" w:sz="0" w:space="0" w:color="auto"/>
        <w:right w:val="none" w:sz="0" w:space="0" w:color="auto"/>
      </w:divBdr>
    </w:div>
    <w:div w:id="603810880">
      <w:bodyDiv w:val="1"/>
      <w:marLeft w:val="0"/>
      <w:marRight w:val="0"/>
      <w:marTop w:val="0"/>
      <w:marBottom w:val="0"/>
      <w:divBdr>
        <w:top w:val="none" w:sz="0" w:space="0" w:color="auto"/>
        <w:left w:val="none" w:sz="0" w:space="0" w:color="auto"/>
        <w:bottom w:val="none" w:sz="0" w:space="0" w:color="auto"/>
        <w:right w:val="none" w:sz="0" w:space="0" w:color="auto"/>
      </w:divBdr>
    </w:div>
    <w:div w:id="604847295">
      <w:bodyDiv w:val="1"/>
      <w:marLeft w:val="0"/>
      <w:marRight w:val="0"/>
      <w:marTop w:val="0"/>
      <w:marBottom w:val="0"/>
      <w:divBdr>
        <w:top w:val="none" w:sz="0" w:space="0" w:color="auto"/>
        <w:left w:val="none" w:sz="0" w:space="0" w:color="auto"/>
        <w:bottom w:val="none" w:sz="0" w:space="0" w:color="auto"/>
        <w:right w:val="none" w:sz="0" w:space="0" w:color="auto"/>
      </w:divBdr>
    </w:div>
    <w:div w:id="608512808">
      <w:bodyDiv w:val="1"/>
      <w:marLeft w:val="0"/>
      <w:marRight w:val="0"/>
      <w:marTop w:val="0"/>
      <w:marBottom w:val="0"/>
      <w:divBdr>
        <w:top w:val="none" w:sz="0" w:space="0" w:color="auto"/>
        <w:left w:val="none" w:sz="0" w:space="0" w:color="auto"/>
        <w:bottom w:val="none" w:sz="0" w:space="0" w:color="auto"/>
        <w:right w:val="none" w:sz="0" w:space="0" w:color="auto"/>
      </w:divBdr>
    </w:div>
    <w:div w:id="614992294">
      <w:bodyDiv w:val="1"/>
      <w:marLeft w:val="0"/>
      <w:marRight w:val="0"/>
      <w:marTop w:val="0"/>
      <w:marBottom w:val="0"/>
      <w:divBdr>
        <w:top w:val="none" w:sz="0" w:space="0" w:color="auto"/>
        <w:left w:val="none" w:sz="0" w:space="0" w:color="auto"/>
        <w:bottom w:val="none" w:sz="0" w:space="0" w:color="auto"/>
        <w:right w:val="none" w:sz="0" w:space="0" w:color="auto"/>
      </w:divBdr>
    </w:div>
    <w:div w:id="616565387">
      <w:bodyDiv w:val="1"/>
      <w:marLeft w:val="0"/>
      <w:marRight w:val="0"/>
      <w:marTop w:val="0"/>
      <w:marBottom w:val="0"/>
      <w:divBdr>
        <w:top w:val="none" w:sz="0" w:space="0" w:color="auto"/>
        <w:left w:val="none" w:sz="0" w:space="0" w:color="auto"/>
        <w:bottom w:val="none" w:sz="0" w:space="0" w:color="auto"/>
        <w:right w:val="none" w:sz="0" w:space="0" w:color="auto"/>
      </w:divBdr>
      <w:divsChild>
        <w:div w:id="851921484">
          <w:marLeft w:val="0"/>
          <w:marRight w:val="0"/>
          <w:marTop w:val="0"/>
          <w:marBottom w:val="0"/>
          <w:divBdr>
            <w:top w:val="none" w:sz="0" w:space="0" w:color="auto"/>
            <w:left w:val="none" w:sz="0" w:space="0" w:color="auto"/>
            <w:bottom w:val="none" w:sz="0" w:space="0" w:color="auto"/>
            <w:right w:val="none" w:sz="0" w:space="0" w:color="auto"/>
          </w:divBdr>
        </w:div>
        <w:div w:id="1197156796">
          <w:marLeft w:val="0"/>
          <w:marRight w:val="0"/>
          <w:marTop w:val="0"/>
          <w:marBottom w:val="0"/>
          <w:divBdr>
            <w:top w:val="none" w:sz="0" w:space="0" w:color="auto"/>
            <w:left w:val="none" w:sz="0" w:space="0" w:color="auto"/>
            <w:bottom w:val="none" w:sz="0" w:space="0" w:color="auto"/>
            <w:right w:val="none" w:sz="0" w:space="0" w:color="auto"/>
          </w:divBdr>
        </w:div>
        <w:div w:id="1294556063">
          <w:marLeft w:val="0"/>
          <w:marRight w:val="0"/>
          <w:marTop w:val="0"/>
          <w:marBottom w:val="0"/>
          <w:divBdr>
            <w:top w:val="none" w:sz="0" w:space="0" w:color="auto"/>
            <w:left w:val="none" w:sz="0" w:space="0" w:color="auto"/>
            <w:bottom w:val="none" w:sz="0" w:space="0" w:color="auto"/>
            <w:right w:val="none" w:sz="0" w:space="0" w:color="auto"/>
          </w:divBdr>
        </w:div>
        <w:div w:id="1779636654">
          <w:marLeft w:val="0"/>
          <w:marRight w:val="0"/>
          <w:marTop w:val="0"/>
          <w:marBottom w:val="0"/>
          <w:divBdr>
            <w:top w:val="none" w:sz="0" w:space="0" w:color="auto"/>
            <w:left w:val="none" w:sz="0" w:space="0" w:color="auto"/>
            <w:bottom w:val="none" w:sz="0" w:space="0" w:color="auto"/>
            <w:right w:val="none" w:sz="0" w:space="0" w:color="auto"/>
          </w:divBdr>
        </w:div>
        <w:div w:id="2096246211">
          <w:marLeft w:val="0"/>
          <w:marRight w:val="0"/>
          <w:marTop w:val="0"/>
          <w:marBottom w:val="0"/>
          <w:divBdr>
            <w:top w:val="none" w:sz="0" w:space="0" w:color="auto"/>
            <w:left w:val="none" w:sz="0" w:space="0" w:color="auto"/>
            <w:bottom w:val="none" w:sz="0" w:space="0" w:color="auto"/>
            <w:right w:val="none" w:sz="0" w:space="0" w:color="auto"/>
          </w:divBdr>
        </w:div>
      </w:divsChild>
    </w:div>
    <w:div w:id="621152750">
      <w:bodyDiv w:val="1"/>
      <w:marLeft w:val="0"/>
      <w:marRight w:val="0"/>
      <w:marTop w:val="0"/>
      <w:marBottom w:val="0"/>
      <w:divBdr>
        <w:top w:val="none" w:sz="0" w:space="0" w:color="auto"/>
        <w:left w:val="none" w:sz="0" w:space="0" w:color="auto"/>
        <w:bottom w:val="none" w:sz="0" w:space="0" w:color="auto"/>
        <w:right w:val="none" w:sz="0" w:space="0" w:color="auto"/>
      </w:divBdr>
    </w:div>
    <w:div w:id="636228260">
      <w:bodyDiv w:val="1"/>
      <w:marLeft w:val="0"/>
      <w:marRight w:val="0"/>
      <w:marTop w:val="0"/>
      <w:marBottom w:val="0"/>
      <w:divBdr>
        <w:top w:val="none" w:sz="0" w:space="0" w:color="auto"/>
        <w:left w:val="none" w:sz="0" w:space="0" w:color="auto"/>
        <w:bottom w:val="none" w:sz="0" w:space="0" w:color="auto"/>
        <w:right w:val="none" w:sz="0" w:space="0" w:color="auto"/>
      </w:divBdr>
    </w:div>
    <w:div w:id="640160561">
      <w:bodyDiv w:val="1"/>
      <w:marLeft w:val="0"/>
      <w:marRight w:val="0"/>
      <w:marTop w:val="0"/>
      <w:marBottom w:val="0"/>
      <w:divBdr>
        <w:top w:val="none" w:sz="0" w:space="0" w:color="auto"/>
        <w:left w:val="none" w:sz="0" w:space="0" w:color="auto"/>
        <w:bottom w:val="none" w:sz="0" w:space="0" w:color="auto"/>
        <w:right w:val="none" w:sz="0" w:space="0" w:color="auto"/>
      </w:divBdr>
    </w:div>
    <w:div w:id="640380170">
      <w:bodyDiv w:val="1"/>
      <w:marLeft w:val="0"/>
      <w:marRight w:val="0"/>
      <w:marTop w:val="0"/>
      <w:marBottom w:val="0"/>
      <w:divBdr>
        <w:top w:val="none" w:sz="0" w:space="0" w:color="auto"/>
        <w:left w:val="none" w:sz="0" w:space="0" w:color="auto"/>
        <w:bottom w:val="none" w:sz="0" w:space="0" w:color="auto"/>
        <w:right w:val="none" w:sz="0" w:space="0" w:color="auto"/>
      </w:divBdr>
    </w:div>
    <w:div w:id="643700076">
      <w:bodyDiv w:val="1"/>
      <w:marLeft w:val="0"/>
      <w:marRight w:val="0"/>
      <w:marTop w:val="0"/>
      <w:marBottom w:val="0"/>
      <w:divBdr>
        <w:top w:val="none" w:sz="0" w:space="0" w:color="auto"/>
        <w:left w:val="none" w:sz="0" w:space="0" w:color="auto"/>
        <w:bottom w:val="none" w:sz="0" w:space="0" w:color="auto"/>
        <w:right w:val="none" w:sz="0" w:space="0" w:color="auto"/>
      </w:divBdr>
    </w:div>
    <w:div w:id="662204668">
      <w:bodyDiv w:val="1"/>
      <w:marLeft w:val="0"/>
      <w:marRight w:val="0"/>
      <w:marTop w:val="0"/>
      <w:marBottom w:val="0"/>
      <w:divBdr>
        <w:top w:val="none" w:sz="0" w:space="0" w:color="auto"/>
        <w:left w:val="none" w:sz="0" w:space="0" w:color="auto"/>
        <w:bottom w:val="none" w:sz="0" w:space="0" w:color="auto"/>
        <w:right w:val="none" w:sz="0" w:space="0" w:color="auto"/>
      </w:divBdr>
    </w:div>
    <w:div w:id="665330062">
      <w:bodyDiv w:val="1"/>
      <w:marLeft w:val="0"/>
      <w:marRight w:val="0"/>
      <w:marTop w:val="0"/>
      <w:marBottom w:val="0"/>
      <w:divBdr>
        <w:top w:val="none" w:sz="0" w:space="0" w:color="auto"/>
        <w:left w:val="none" w:sz="0" w:space="0" w:color="auto"/>
        <w:bottom w:val="none" w:sz="0" w:space="0" w:color="auto"/>
        <w:right w:val="none" w:sz="0" w:space="0" w:color="auto"/>
      </w:divBdr>
    </w:div>
    <w:div w:id="666249687">
      <w:bodyDiv w:val="1"/>
      <w:marLeft w:val="0"/>
      <w:marRight w:val="0"/>
      <w:marTop w:val="0"/>
      <w:marBottom w:val="0"/>
      <w:divBdr>
        <w:top w:val="none" w:sz="0" w:space="0" w:color="auto"/>
        <w:left w:val="none" w:sz="0" w:space="0" w:color="auto"/>
        <w:bottom w:val="none" w:sz="0" w:space="0" w:color="auto"/>
        <w:right w:val="none" w:sz="0" w:space="0" w:color="auto"/>
      </w:divBdr>
    </w:div>
    <w:div w:id="668950110">
      <w:bodyDiv w:val="1"/>
      <w:marLeft w:val="0"/>
      <w:marRight w:val="0"/>
      <w:marTop w:val="0"/>
      <w:marBottom w:val="0"/>
      <w:divBdr>
        <w:top w:val="none" w:sz="0" w:space="0" w:color="auto"/>
        <w:left w:val="none" w:sz="0" w:space="0" w:color="auto"/>
        <w:bottom w:val="none" w:sz="0" w:space="0" w:color="auto"/>
        <w:right w:val="none" w:sz="0" w:space="0" w:color="auto"/>
      </w:divBdr>
    </w:div>
    <w:div w:id="672145723">
      <w:bodyDiv w:val="1"/>
      <w:marLeft w:val="0"/>
      <w:marRight w:val="0"/>
      <w:marTop w:val="0"/>
      <w:marBottom w:val="0"/>
      <w:divBdr>
        <w:top w:val="none" w:sz="0" w:space="0" w:color="auto"/>
        <w:left w:val="none" w:sz="0" w:space="0" w:color="auto"/>
        <w:bottom w:val="none" w:sz="0" w:space="0" w:color="auto"/>
        <w:right w:val="none" w:sz="0" w:space="0" w:color="auto"/>
      </w:divBdr>
    </w:div>
    <w:div w:id="672531776">
      <w:bodyDiv w:val="1"/>
      <w:marLeft w:val="0"/>
      <w:marRight w:val="0"/>
      <w:marTop w:val="0"/>
      <w:marBottom w:val="0"/>
      <w:divBdr>
        <w:top w:val="none" w:sz="0" w:space="0" w:color="auto"/>
        <w:left w:val="none" w:sz="0" w:space="0" w:color="auto"/>
        <w:bottom w:val="none" w:sz="0" w:space="0" w:color="auto"/>
        <w:right w:val="none" w:sz="0" w:space="0" w:color="auto"/>
      </w:divBdr>
    </w:div>
    <w:div w:id="674261758">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
    <w:div w:id="679812850">
      <w:bodyDiv w:val="1"/>
      <w:marLeft w:val="0"/>
      <w:marRight w:val="0"/>
      <w:marTop w:val="0"/>
      <w:marBottom w:val="0"/>
      <w:divBdr>
        <w:top w:val="none" w:sz="0" w:space="0" w:color="auto"/>
        <w:left w:val="none" w:sz="0" w:space="0" w:color="auto"/>
        <w:bottom w:val="none" w:sz="0" w:space="0" w:color="auto"/>
        <w:right w:val="none" w:sz="0" w:space="0" w:color="auto"/>
      </w:divBdr>
    </w:div>
    <w:div w:id="688991861">
      <w:bodyDiv w:val="1"/>
      <w:marLeft w:val="0"/>
      <w:marRight w:val="0"/>
      <w:marTop w:val="0"/>
      <w:marBottom w:val="0"/>
      <w:divBdr>
        <w:top w:val="none" w:sz="0" w:space="0" w:color="auto"/>
        <w:left w:val="none" w:sz="0" w:space="0" w:color="auto"/>
        <w:bottom w:val="none" w:sz="0" w:space="0" w:color="auto"/>
        <w:right w:val="none" w:sz="0" w:space="0" w:color="auto"/>
      </w:divBdr>
    </w:div>
    <w:div w:id="690645330">
      <w:bodyDiv w:val="1"/>
      <w:marLeft w:val="0"/>
      <w:marRight w:val="0"/>
      <w:marTop w:val="0"/>
      <w:marBottom w:val="0"/>
      <w:divBdr>
        <w:top w:val="none" w:sz="0" w:space="0" w:color="auto"/>
        <w:left w:val="none" w:sz="0" w:space="0" w:color="auto"/>
        <w:bottom w:val="none" w:sz="0" w:space="0" w:color="auto"/>
        <w:right w:val="none" w:sz="0" w:space="0" w:color="auto"/>
      </w:divBdr>
    </w:div>
    <w:div w:id="694816658">
      <w:bodyDiv w:val="1"/>
      <w:marLeft w:val="0"/>
      <w:marRight w:val="0"/>
      <w:marTop w:val="0"/>
      <w:marBottom w:val="0"/>
      <w:divBdr>
        <w:top w:val="none" w:sz="0" w:space="0" w:color="auto"/>
        <w:left w:val="none" w:sz="0" w:space="0" w:color="auto"/>
        <w:bottom w:val="none" w:sz="0" w:space="0" w:color="auto"/>
        <w:right w:val="none" w:sz="0" w:space="0" w:color="auto"/>
      </w:divBdr>
    </w:div>
    <w:div w:id="700209347">
      <w:bodyDiv w:val="1"/>
      <w:marLeft w:val="0"/>
      <w:marRight w:val="0"/>
      <w:marTop w:val="0"/>
      <w:marBottom w:val="0"/>
      <w:divBdr>
        <w:top w:val="none" w:sz="0" w:space="0" w:color="auto"/>
        <w:left w:val="none" w:sz="0" w:space="0" w:color="auto"/>
        <w:bottom w:val="none" w:sz="0" w:space="0" w:color="auto"/>
        <w:right w:val="none" w:sz="0" w:space="0" w:color="auto"/>
      </w:divBdr>
    </w:div>
    <w:div w:id="702483614">
      <w:bodyDiv w:val="1"/>
      <w:marLeft w:val="0"/>
      <w:marRight w:val="0"/>
      <w:marTop w:val="0"/>
      <w:marBottom w:val="0"/>
      <w:divBdr>
        <w:top w:val="none" w:sz="0" w:space="0" w:color="auto"/>
        <w:left w:val="none" w:sz="0" w:space="0" w:color="auto"/>
        <w:bottom w:val="none" w:sz="0" w:space="0" w:color="auto"/>
        <w:right w:val="none" w:sz="0" w:space="0" w:color="auto"/>
      </w:divBdr>
    </w:div>
    <w:div w:id="704258622">
      <w:bodyDiv w:val="1"/>
      <w:marLeft w:val="0"/>
      <w:marRight w:val="0"/>
      <w:marTop w:val="0"/>
      <w:marBottom w:val="0"/>
      <w:divBdr>
        <w:top w:val="none" w:sz="0" w:space="0" w:color="auto"/>
        <w:left w:val="none" w:sz="0" w:space="0" w:color="auto"/>
        <w:bottom w:val="none" w:sz="0" w:space="0" w:color="auto"/>
        <w:right w:val="none" w:sz="0" w:space="0" w:color="auto"/>
      </w:divBdr>
    </w:div>
    <w:div w:id="705757463">
      <w:bodyDiv w:val="1"/>
      <w:marLeft w:val="0"/>
      <w:marRight w:val="0"/>
      <w:marTop w:val="0"/>
      <w:marBottom w:val="0"/>
      <w:divBdr>
        <w:top w:val="none" w:sz="0" w:space="0" w:color="auto"/>
        <w:left w:val="none" w:sz="0" w:space="0" w:color="auto"/>
        <w:bottom w:val="none" w:sz="0" w:space="0" w:color="auto"/>
        <w:right w:val="none" w:sz="0" w:space="0" w:color="auto"/>
      </w:divBdr>
    </w:div>
    <w:div w:id="707995902">
      <w:bodyDiv w:val="1"/>
      <w:marLeft w:val="0"/>
      <w:marRight w:val="0"/>
      <w:marTop w:val="0"/>
      <w:marBottom w:val="0"/>
      <w:divBdr>
        <w:top w:val="none" w:sz="0" w:space="0" w:color="auto"/>
        <w:left w:val="none" w:sz="0" w:space="0" w:color="auto"/>
        <w:bottom w:val="none" w:sz="0" w:space="0" w:color="auto"/>
        <w:right w:val="none" w:sz="0" w:space="0" w:color="auto"/>
      </w:divBdr>
    </w:div>
    <w:div w:id="714351284">
      <w:marLeft w:val="0"/>
      <w:marRight w:val="0"/>
      <w:marTop w:val="0"/>
      <w:marBottom w:val="0"/>
      <w:divBdr>
        <w:top w:val="none" w:sz="0" w:space="0" w:color="auto"/>
        <w:left w:val="none" w:sz="0" w:space="0" w:color="auto"/>
        <w:bottom w:val="none" w:sz="0" w:space="0" w:color="auto"/>
        <w:right w:val="none" w:sz="0" w:space="0" w:color="auto"/>
      </w:divBdr>
    </w:div>
    <w:div w:id="714351285">
      <w:marLeft w:val="0"/>
      <w:marRight w:val="0"/>
      <w:marTop w:val="0"/>
      <w:marBottom w:val="0"/>
      <w:divBdr>
        <w:top w:val="none" w:sz="0" w:space="0" w:color="auto"/>
        <w:left w:val="none" w:sz="0" w:space="0" w:color="auto"/>
        <w:bottom w:val="none" w:sz="0" w:space="0" w:color="auto"/>
        <w:right w:val="none" w:sz="0" w:space="0" w:color="auto"/>
      </w:divBdr>
    </w:div>
    <w:div w:id="714351286">
      <w:marLeft w:val="0"/>
      <w:marRight w:val="0"/>
      <w:marTop w:val="0"/>
      <w:marBottom w:val="0"/>
      <w:divBdr>
        <w:top w:val="none" w:sz="0" w:space="0" w:color="auto"/>
        <w:left w:val="none" w:sz="0" w:space="0" w:color="auto"/>
        <w:bottom w:val="none" w:sz="0" w:space="0" w:color="auto"/>
        <w:right w:val="none" w:sz="0" w:space="0" w:color="auto"/>
      </w:divBdr>
    </w:div>
    <w:div w:id="714351293">
      <w:marLeft w:val="0"/>
      <w:marRight w:val="0"/>
      <w:marTop w:val="0"/>
      <w:marBottom w:val="0"/>
      <w:divBdr>
        <w:top w:val="none" w:sz="0" w:space="0" w:color="auto"/>
        <w:left w:val="none" w:sz="0" w:space="0" w:color="auto"/>
        <w:bottom w:val="none" w:sz="0" w:space="0" w:color="auto"/>
        <w:right w:val="none" w:sz="0" w:space="0" w:color="auto"/>
      </w:divBdr>
    </w:div>
    <w:div w:id="714351295">
      <w:marLeft w:val="0"/>
      <w:marRight w:val="0"/>
      <w:marTop w:val="0"/>
      <w:marBottom w:val="0"/>
      <w:divBdr>
        <w:top w:val="none" w:sz="0" w:space="0" w:color="auto"/>
        <w:left w:val="none" w:sz="0" w:space="0" w:color="auto"/>
        <w:bottom w:val="none" w:sz="0" w:space="0" w:color="auto"/>
        <w:right w:val="none" w:sz="0" w:space="0" w:color="auto"/>
      </w:divBdr>
    </w:div>
    <w:div w:id="714351296">
      <w:marLeft w:val="0"/>
      <w:marRight w:val="0"/>
      <w:marTop w:val="0"/>
      <w:marBottom w:val="0"/>
      <w:divBdr>
        <w:top w:val="none" w:sz="0" w:space="0" w:color="auto"/>
        <w:left w:val="none" w:sz="0" w:space="0" w:color="auto"/>
        <w:bottom w:val="none" w:sz="0" w:space="0" w:color="auto"/>
        <w:right w:val="none" w:sz="0" w:space="0" w:color="auto"/>
      </w:divBdr>
    </w:div>
    <w:div w:id="714351297">
      <w:marLeft w:val="0"/>
      <w:marRight w:val="0"/>
      <w:marTop w:val="0"/>
      <w:marBottom w:val="0"/>
      <w:divBdr>
        <w:top w:val="none" w:sz="0" w:space="0" w:color="auto"/>
        <w:left w:val="none" w:sz="0" w:space="0" w:color="auto"/>
        <w:bottom w:val="none" w:sz="0" w:space="0" w:color="auto"/>
        <w:right w:val="none" w:sz="0" w:space="0" w:color="auto"/>
      </w:divBdr>
    </w:div>
    <w:div w:id="714351298">
      <w:marLeft w:val="0"/>
      <w:marRight w:val="0"/>
      <w:marTop w:val="0"/>
      <w:marBottom w:val="0"/>
      <w:divBdr>
        <w:top w:val="none" w:sz="0" w:space="0" w:color="auto"/>
        <w:left w:val="none" w:sz="0" w:space="0" w:color="auto"/>
        <w:bottom w:val="none" w:sz="0" w:space="0" w:color="auto"/>
        <w:right w:val="none" w:sz="0" w:space="0" w:color="auto"/>
      </w:divBdr>
    </w:div>
    <w:div w:id="714351299">
      <w:marLeft w:val="0"/>
      <w:marRight w:val="0"/>
      <w:marTop w:val="0"/>
      <w:marBottom w:val="0"/>
      <w:divBdr>
        <w:top w:val="none" w:sz="0" w:space="0" w:color="auto"/>
        <w:left w:val="none" w:sz="0" w:space="0" w:color="auto"/>
        <w:bottom w:val="none" w:sz="0" w:space="0" w:color="auto"/>
        <w:right w:val="none" w:sz="0" w:space="0" w:color="auto"/>
      </w:divBdr>
    </w:div>
    <w:div w:id="714351303">
      <w:marLeft w:val="0"/>
      <w:marRight w:val="0"/>
      <w:marTop w:val="0"/>
      <w:marBottom w:val="0"/>
      <w:divBdr>
        <w:top w:val="none" w:sz="0" w:space="0" w:color="auto"/>
        <w:left w:val="none" w:sz="0" w:space="0" w:color="auto"/>
        <w:bottom w:val="none" w:sz="0" w:space="0" w:color="auto"/>
        <w:right w:val="none" w:sz="0" w:space="0" w:color="auto"/>
      </w:divBdr>
    </w:div>
    <w:div w:id="714351306">
      <w:marLeft w:val="0"/>
      <w:marRight w:val="0"/>
      <w:marTop w:val="0"/>
      <w:marBottom w:val="0"/>
      <w:divBdr>
        <w:top w:val="none" w:sz="0" w:space="0" w:color="auto"/>
        <w:left w:val="none" w:sz="0" w:space="0" w:color="auto"/>
        <w:bottom w:val="none" w:sz="0" w:space="0" w:color="auto"/>
        <w:right w:val="none" w:sz="0" w:space="0" w:color="auto"/>
      </w:divBdr>
    </w:div>
    <w:div w:id="714351308">
      <w:marLeft w:val="0"/>
      <w:marRight w:val="0"/>
      <w:marTop w:val="0"/>
      <w:marBottom w:val="0"/>
      <w:divBdr>
        <w:top w:val="none" w:sz="0" w:space="0" w:color="auto"/>
        <w:left w:val="none" w:sz="0" w:space="0" w:color="auto"/>
        <w:bottom w:val="none" w:sz="0" w:space="0" w:color="auto"/>
        <w:right w:val="none" w:sz="0" w:space="0" w:color="auto"/>
      </w:divBdr>
      <w:divsChild>
        <w:div w:id="714351289">
          <w:marLeft w:val="0"/>
          <w:marRight w:val="0"/>
          <w:marTop w:val="0"/>
          <w:marBottom w:val="0"/>
          <w:divBdr>
            <w:top w:val="none" w:sz="0" w:space="0" w:color="auto"/>
            <w:left w:val="none" w:sz="0" w:space="0" w:color="auto"/>
            <w:bottom w:val="none" w:sz="0" w:space="0" w:color="auto"/>
            <w:right w:val="none" w:sz="0" w:space="0" w:color="auto"/>
          </w:divBdr>
          <w:divsChild>
            <w:div w:id="714351301">
              <w:marLeft w:val="0"/>
              <w:marRight w:val="0"/>
              <w:marTop w:val="0"/>
              <w:marBottom w:val="0"/>
              <w:divBdr>
                <w:top w:val="none" w:sz="0" w:space="0" w:color="auto"/>
                <w:left w:val="none" w:sz="0" w:space="0" w:color="auto"/>
                <w:bottom w:val="none" w:sz="0" w:space="0" w:color="auto"/>
                <w:right w:val="none" w:sz="0" w:space="0" w:color="auto"/>
              </w:divBdr>
              <w:divsChild>
                <w:div w:id="714351312">
                  <w:marLeft w:val="0"/>
                  <w:marRight w:val="0"/>
                  <w:marTop w:val="0"/>
                  <w:marBottom w:val="0"/>
                  <w:divBdr>
                    <w:top w:val="none" w:sz="0" w:space="0" w:color="auto"/>
                    <w:left w:val="none" w:sz="0" w:space="0" w:color="auto"/>
                    <w:bottom w:val="none" w:sz="0" w:space="0" w:color="auto"/>
                    <w:right w:val="none" w:sz="0" w:space="0" w:color="auto"/>
                  </w:divBdr>
                  <w:divsChild>
                    <w:div w:id="714351300">
                      <w:marLeft w:val="0"/>
                      <w:marRight w:val="0"/>
                      <w:marTop w:val="0"/>
                      <w:marBottom w:val="0"/>
                      <w:divBdr>
                        <w:top w:val="none" w:sz="0" w:space="0" w:color="auto"/>
                        <w:left w:val="none" w:sz="0" w:space="0" w:color="auto"/>
                        <w:bottom w:val="none" w:sz="0" w:space="0" w:color="auto"/>
                        <w:right w:val="none" w:sz="0" w:space="0" w:color="auto"/>
                      </w:divBdr>
                      <w:divsChild>
                        <w:div w:id="714351317">
                          <w:marLeft w:val="0"/>
                          <w:marRight w:val="0"/>
                          <w:marTop w:val="0"/>
                          <w:marBottom w:val="0"/>
                          <w:divBdr>
                            <w:top w:val="none" w:sz="0" w:space="0" w:color="auto"/>
                            <w:left w:val="none" w:sz="0" w:space="0" w:color="auto"/>
                            <w:bottom w:val="none" w:sz="0" w:space="0" w:color="auto"/>
                            <w:right w:val="none" w:sz="0" w:space="0" w:color="auto"/>
                          </w:divBdr>
                          <w:divsChild>
                            <w:div w:id="714351331">
                              <w:marLeft w:val="0"/>
                              <w:marRight w:val="0"/>
                              <w:marTop w:val="0"/>
                              <w:marBottom w:val="0"/>
                              <w:divBdr>
                                <w:top w:val="none" w:sz="0" w:space="0" w:color="auto"/>
                                <w:left w:val="none" w:sz="0" w:space="0" w:color="auto"/>
                                <w:bottom w:val="none" w:sz="0" w:space="0" w:color="auto"/>
                                <w:right w:val="none" w:sz="0" w:space="0" w:color="auto"/>
                              </w:divBdr>
                              <w:divsChild>
                                <w:div w:id="714351305">
                                  <w:marLeft w:val="0"/>
                                  <w:marRight w:val="0"/>
                                  <w:marTop w:val="0"/>
                                  <w:marBottom w:val="0"/>
                                  <w:divBdr>
                                    <w:top w:val="none" w:sz="0" w:space="0" w:color="auto"/>
                                    <w:left w:val="none" w:sz="0" w:space="0" w:color="auto"/>
                                    <w:bottom w:val="none" w:sz="0" w:space="0" w:color="auto"/>
                                    <w:right w:val="none" w:sz="0" w:space="0" w:color="auto"/>
                                  </w:divBdr>
                                  <w:divsChild>
                                    <w:div w:id="714351323">
                                      <w:marLeft w:val="0"/>
                                      <w:marRight w:val="0"/>
                                      <w:marTop w:val="0"/>
                                      <w:marBottom w:val="0"/>
                                      <w:divBdr>
                                        <w:top w:val="none" w:sz="0" w:space="0" w:color="auto"/>
                                        <w:left w:val="none" w:sz="0" w:space="0" w:color="auto"/>
                                        <w:bottom w:val="none" w:sz="0" w:space="0" w:color="auto"/>
                                        <w:right w:val="none" w:sz="0" w:space="0" w:color="auto"/>
                                      </w:divBdr>
                                      <w:divsChild>
                                        <w:div w:id="714351290">
                                          <w:marLeft w:val="0"/>
                                          <w:marRight w:val="0"/>
                                          <w:marTop w:val="0"/>
                                          <w:marBottom w:val="0"/>
                                          <w:divBdr>
                                            <w:top w:val="none" w:sz="0" w:space="0" w:color="auto"/>
                                            <w:left w:val="none" w:sz="0" w:space="0" w:color="auto"/>
                                            <w:bottom w:val="none" w:sz="0" w:space="0" w:color="auto"/>
                                            <w:right w:val="none" w:sz="0" w:space="0" w:color="auto"/>
                                          </w:divBdr>
                                          <w:divsChild>
                                            <w:div w:id="714351332">
                                              <w:marLeft w:val="0"/>
                                              <w:marRight w:val="0"/>
                                              <w:marTop w:val="0"/>
                                              <w:marBottom w:val="0"/>
                                              <w:divBdr>
                                                <w:top w:val="none" w:sz="0" w:space="0" w:color="auto"/>
                                                <w:left w:val="none" w:sz="0" w:space="0" w:color="auto"/>
                                                <w:bottom w:val="none" w:sz="0" w:space="0" w:color="auto"/>
                                                <w:right w:val="none" w:sz="0" w:space="0" w:color="auto"/>
                                              </w:divBdr>
                                              <w:divsChild>
                                                <w:div w:id="714351333">
                                                  <w:marLeft w:val="0"/>
                                                  <w:marRight w:val="0"/>
                                                  <w:marTop w:val="0"/>
                                                  <w:marBottom w:val="0"/>
                                                  <w:divBdr>
                                                    <w:top w:val="none" w:sz="0" w:space="0" w:color="auto"/>
                                                    <w:left w:val="none" w:sz="0" w:space="0" w:color="auto"/>
                                                    <w:bottom w:val="none" w:sz="0" w:space="0" w:color="auto"/>
                                                    <w:right w:val="none" w:sz="0" w:space="0" w:color="auto"/>
                                                  </w:divBdr>
                                                  <w:divsChild>
                                                    <w:div w:id="7143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351309">
      <w:marLeft w:val="0"/>
      <w:marRight w:val="0"/>
      <w:marTop w:val="0"/>
      <w:marBottom w:val="0"/>
      <w:divBdr>
        <w:top w:val="none" w:sz="0" w:space="0" w:color="auto"/>
        <w:left w:val="none" w:sz="0" w:space="0" w:color="auto"/>
        <w:bottom w:val="none" w:sz="0" w:space="0" w:color="auto"/>
        <w:right w:val="none" w:sz="0" w:space="0" w:color="auto"/>
      </w:divBdr>
    </w:div>
    <w:div w:id="714351310">
      <w:marLeft w:val="0"/>
      <w:marRight w:val="0"/>
      <w:marTop w:val="0"/>
      <w:marBottom w:val="0"/>
      <w:divBdr>
        <w:top w:val="none" w:sz="0" w:space="0" w:color="auto"/>
        <w:left w:val="none" w:sz="0" w:space="0" w:color="auto"/>
        <w:bottom w:val="none" w:sz="0" w:space="0" w:color="auto"/>
        <w:right w:val="none" w:sz="0" w:space="0" w:color="auto"/>
      </w:divBdr>
    </w:div>
    <w:div w:id="714351311">
      <w:marLeft w:val="0"/>
      <w:marRight w:val="0"/>
      <w:marTop w:val="0"/>
      <w:marBottom w:val="0"/>
      <w:divBdr>
        <w:top w:val="none" w:sz="0" w:space="0" w:color="auto"/>
        <w:left w:val="none" w:sz="0" w:space="0" w:color="auto"/>
        <w:bottom w:val="none" w:sz="0" w:space="0" w:color="auto"/>
        <w:right w:val="none" w:sz="0" w:space="0" w:color="auto"/>
      </w:divBdr>
    </w:div>
    <w:div w:id="714351315">
      <w:marLeft w:val="0"/>
      <w:marRight w:val="0"/>
      <w:marTop w:val="0"/>
      <w:marBottom w:val="0"/>
      <w:divBdr>
        <w:top w:val="none" w:sz="0" w:space="0" w:color="auto"/>
        <w:left w:val="none" w:sz="0" w:space="0" w:color="auto"/>
        <w:bottom w:val="none" w:sz="0" w:space="0" w:color="auto"/>
        <w:right w:val="none" w:sz="0" w:space="0" w:color="auto"/>
      </w:divBdr>
      <w:divsChild>
        <w:div w:id="714351314">
          <w:marLeft w:val="0"/>
          <w:marRight w:val="0"/>
          <w:marTop w:val="0"/>
          <w:marBottom w:val="0"/>
          <w:divBdr>
            <w:top w:val="none" w:sz="0" w:space="0" w:color="auto"/>
            <w:left w:val="none" w:sz="0" w:space="0" w:color="auto"/>
            <w:bottom w:val="none" w:sz="0" w:space="0" w:color="auto"/>
            <w:right w:val="none" w:sz="0" w:space="0" w:color="auto"/>
          </w:divBdr>
          <w:divsChild>
            <w:div w:id="714351292">
              <w:marLeft w:val="0"/>
              <w:marRight w:val="0"/>
              <w:marTop w:val="0"/>
              <w:marBottom w:val="0"/>
              <w:divBdr>
                <w:top w:val="none" w:sz="0" w:space="0" w:color="auto"/>
                <w:left w:val="none" w:sz="0" w:space="0" w:color="auto"/>
                <w:bottom w:val="none" w:sz="0" w:space="0" w:color="auto"/>
                <w:right w:val="none" w:sz="0" w:space="0" w:color="auto"/>
              </w:divBdr>
              <w:divsChild>
                <w:div w:id="714351294">
                  <w:marLeft w:val="0"/>
                  <w:marRight w:val="0"/>
                  <w:marTop w:val="0"/>
                  <w:marBottom w:val="0"/>
                  <w:divBdr>
                    <w:top w:val="none" w:sz="0" w:space="0" w:color="auto"/>
                    <w:left w:val="none" w:sz="0" w:space="0" w:color="auto"/>
                    <w:bottom w:val="none" w:sz="0" w:space="0" w:color="auto"/>
                    <w:right w:val="none" w:sz="0" w:space="0" w:color="auto"/>
                  </w:divBdr>
                  <w:divsChild>
                    <w:div w:id="714351291">
                      <w:marLeft w:val="0"/>
                      <w:marRight w:val="0"/>
                      <w:marTop w:val="0"/>
                      <w:marBottom w:val="0"/>
                      <w:divBdr>
                        <w:top w:val="none" w:sz="0" w:space="0" w:color="auto"/>
                        <w:left w:val="none" w:sz="0" w:space="0" w:color="auto"/>
                        <w:bottom w:val="none" w:sz="0" w:space="0" w:color="auto"/>
                        <w:right w:val="none" w:sz="0" w:space="0" w:color="auto"/>
                      </w:divBdr>
                      <w:divsChild>
                        <w:div w:id="714351319">
                          <w:marLeft w:val="0"/>
                          <w:marRight w:val="0"/>
                          <w:marTop w:val="0"/>
                          <w:marBottom w:val="0"/>
                          <w:divBdr>
                            <w:top w:val="none" w:sz="0" w:space="0" w:color="auto"/>
                            <w:left w:val="none" w:sz="0" w:space="0" w:color="auto"/>
                            <w:bottom w:val="none" w:sz="0" w:space="0" w:color="auto"/>
                            <w:right w:val="none" w:sz="0" w:space="0" w:color="auto"/>
                          </w:divBdr>
                          <w:divsChild>
                            <w:div w:id="714351304">
                              <w:marLeft w:val="0"/>
                              <w:marRight w:val="0"/>
                              <w:marTop w:val="0"/>
                              <w:marBottom w:val="0"/>
                              <w:divBdr>
                                <w:top w:val="none" w:sz="0" w:space="0" w:color="auto"/>
                                <w:left w:val="none" w:sz="0" w:space="0" w:color="auto"/>
                                <w:bottom w:val="none" w:sz="0" w:space="0" w:color="auto"/>
                                <w:right w:val="none" w:sz="0" w:space="0" w:color="auto"/>
                              </w:divBdr>
                              <w:divsChild>
                                <w:div w:id="714351335">
                                  <w:marLeft w:val="0"/>
                                  <w:marRight w:val="0"/>
                                  <w:marTop w:val="0"/>
                                  <w:marBottom w:val="0"/>
                                  <w:divBdr>
                                    <w:top w:val="none" w:sz="0" w:space="0" w:color="auto"/>
                                    <w:left w:val="none" w:sz="0" w:space="0" w:color="auto"/>
                                    <w:bottom w:val="none" w:sz="0" w:space="0" w:color="auto"/>
                                    <w:right w:val="none" w:sz="0" w:space="0" w:color="auto"/>
                                  </w:divBdr>
                                  <w:divsChild>
                                    <w:div w:id="714351307">
                                      <w:marLeft w:val="0"/>
                                      <w:marRight w:val="0"/>
                                      <w:marTop w:val="0"/>
                                      <w:marBottom w:val="0"/>
                                      <w:divBdr>
                                        <w:top w:val="none" w:sz="0" w:space="0" w:color="auto"/>
                                        <w:left w:val="none" w:sz="0" w:space="0" w:color="auto"/>
                                        <w:bottom w:val="none" w:sz="0" w:space="0" w:color="auto"/>
                                        <w:right w:val="none" w:sz="0" w:space="0" w:color="auto"/>
                                      </w:divBdr>
                                      <w:divsChild>
                                        <w:div w:id="714351288">
                                          <w:marLeft w:val="0"/>
                                          <w:marRight w:val="0"/>
                                          <w:marTop w:val="0"/>
                                          <w:marBottom w:val="0"/>
                                          <w:divBdr>
                                            <w:top w:val="none" w:sz="0" w:space="0" w:color="auto"/>
                                            <w:left w:val="none" w:sz="0" w:space="0" w:color="auto"/>
                                            <w:bottom w:val="none" w:sz="0" w:space="0" w:color="auto"/>
                                            <w:right w:val="none" w:sz="0" w:space="0" w:color="auto"/>
                                          </w:divBdr>
                                          <w:divsChild>
                                            <w:div w:id="714351287">
                                              <w:marLeft w:val="0"/>
                                              <w:marRight w:val="0"/>
                                              <w:marTop w:val="0"/>
                                              <w:marBottom w:val="0"/>
                                              <w:divBdr>
                                                <w:top w:val="none" w:sz="0" w:space="0" w:color="auto"/>
                                                <w:left w:val="none" w:sz="0" w:space="0" w:color="auto"/>
                                                <w:bottom w:val="none" w:sz="0" w:space="0" w:color="auto"/>
                                                <w:right w:val="none" w:sz="0" w:space="0" w:color="auto"/>
                                              </w:divBdr>
                                              <w:divsChild>
                                                <w:div w:id="714351313">
                                                  <w:marLeft w:val="0"/>
                                                  <w:marRight w:val="0"/>
                                                  <w:marTop w:val="0"/>
                                                  <w:marBottom w:val="0"/>
                                                  <w:divBdr>
                                                    <w:top w:val="none" w:sz="0" w:space="0" w:color="auto"/>
                                                    <w:left w:val="none" w:sz="0" w:space="0" w:color="auto"/>
                                                    <w:bottom w:val="none" w:sz="0" w:space="0" w:color="auto"/>
                                                    <w:right w:val="none" w:sz="0" w:space="0" w:color="auto"/>
                                                  </w:divBdr>
                                                  <w:divsChild>
                                                    <w:div w:id="7143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351316">
      <w:marLeft w:val="0"/>
      <w:marRight w:val="0"/>
      <w:marTop w:val="0"/>
      <w:marBottom w:val="0"/>
      <w:divBdr>
        <w:top w:val="none" w:sz="0" w:space="0" w:color="auto"/>
        <w:left w:val="none" w:sz="0" w:space="0" w:color="auto"/>
        <w:bottom w:val="none" w:sz="0" w:space="0" w:color="auto"/>
        <w:right w:val="none" w:sz="0" w:space="0" w:color="auto"/>
      </w:divBdr>
    </w:div>
    <w:div w:id="714351318">
      <w:marLeft w:val="0"/>
      <w:marRight w:val="0"/>
      <w:marTop w:val="0"/>
      <w:marBottom w:val="0"/>
      <w:divBdr>
        <w:top w:val="none" w:sz="0" w:space="0" w:color="auto"/>
        <w:left w:val="none" w:sz="0" w:space="0" w:color="auto"/>
        <w:bottom w:val="none" w:sz="0" w:space="0" w:color="auto"/>
        <w:right w:val="none" w:sz="0" w:space="0" w:color="auto"/>
      </w:divBdr>
    </w:div>
    <w:div w:id="714351320">
      <w:marLeft w:val="0"/>
      <w:marRight w:val="0"/>
      <w:marTop w:val="0"/>
      <w:marBottom w:val="0"/>
      <w:divBdr>
        <w:top w:val="none" w:sz="0" w:space="0" w:color="auto"/>
        <w:left w:val="none" w:sz="0" w:space="0" w:color="auto"/>
        <w:bottom w:val="none" w:sz="0" w:space="0" w:color="auto"/>
        <w:right w:val="none" w:sz="0" w:space="0" w:color="auto"/>
      </w:divBdr>
    </w:div>
    <w:div w:id="714351321">
      <w:marLeft w:val="0"/>
      <w:marRight w:val="0"/>
      <w:marTop w:val="0"/>
      <w:marBottom w:val="0"/>
      <w:divBdr>
        <w:top w:val="none" w:sz="0" w:space="0" w:color="auto"/>
        <w:left w:val="none" w:sz="0" w:space="0" w:color="auto"/>
        <w:bottom w:val="none" w:sz="0" w:space="0" w:color="auto"/>
        <w:right w:val="none" w:sz="0" w:space="0" w:color="auto"/>
      </w:divBdr>
    </w:div>
    <w:div w:id="714351322">
      <w:marLeft w:val="0"/>
      <w:marRight w:val="0"/>
      <w:marTop w:val="0"/>
      <w:marBottom w:val="0"/>
      <w:divBdr>
        <w:top w:val="none" w:sz="0" w:space="0" w:color="auto"/>
        <w:left w:val="none" w:sz="0" w:space="0" w:color="auto"/>
        <w:bottom w:val="none" w:sz="0" w:space="0" w:color="auto"/>
        <w:right w:val="none" w:sz="0" w:space="0" w:color="auto"/>
      </w:divBdr>
    </w:div>
    <w:div w:id="714351324">
      <w:marLeft w:val="0"/>
      <w:marRight w:val="0"/>
      <w:marTop w:val="0"/>
      <w:marBottom w:val="0"/>
      <w:divBdr>
        <w:top w:val="none" w:sz="0" w:space="0" w:color="auto"/>
        <w:left w:val="none" w:sz="0" w:space="0" w:color="auto"/>
        <w:bottom w:val="none" w:sz="0" w:space="0" w:color="auto"/>
        <w:right w:val="none" w:sz="0" w:space="0" w:color="auto"/>
      </w:divBdr>
    </w:div>
    <w:div w:id="714351325">
      <w:marLeft w:val="0"/>
      <w:marRight w:val="0"/>
      <w:marTop w:val="0"/>
      <w:marBottom w:val="0"/>
      <w:divBdr>
        <w:top w:val="none" w:sz="0" w:space="0" w:color="auto"/>
        <w:left w:val="none" w:sz="0" w:space="0" w:color="auto"/>
        <w:bottom w:val="none" w:sz="0" w:space="0" w:color="auto"/>
        <w:right w:val="none" w:sz="0" w:space="0" w:color="auto"/>
      </w:divBdr>
    </w:div>
    <w:div w:id="714351326">
      <w:marLeft w:val="0"/>
      <w:marRight w:val="0"/>
      <w:marTop w:val="0"/>
      <w:marBottom w:val="0"/>
      <w:divBdr>
        <w:top w:val="none" w:sz="0" w:space="0" w:color="auto"/>
        <w:left w:val="none" w:sz="0" w:space="0" w:color="auto"/>
        <w:bottom w:val="none" w:sz="0" w:space="0" w:color="auto"/>
        <w:right w:val="none" w:sz="0" w:space="0" w:color="auto"/>
      </w:divBdr>
    </w:div>
    <w:div w:id="714351327">
      <w:marLeft w:val="0"/>
      <w:marRight w:val="0"/>
      <w:marTop w:val="0"/>
      <w:marBottom w:val="0"/>
      <w:divBdr>
        <w:top w:val="none" w:sz="0" w:space="0" w:color="auto"/>
        <w:left w:val="none" w:sz="0" w:space="0" w:color="auto"/>
        <w:bottom w:val="none" w:sz="0" w:space="0" w:color="auto"/>
        <w:right w:val="none" w:sz="0" w:space="0" w:color="auto"/>
      </w:divBdr>
    </w:div>
    <w:div w:id="714351328">
      <w:marLeft w:val="0"/>
      <w:marRight w:val="0"/>
      <w:marTop w:val="0"/>
      <w:marBottom w:val="0"/>
      <w:divBdr>
        <w:top w:val="none" w:sz="0" w:space="0" w:color="auto"/>
        <w:left w:val="none" w:sz="0" w:space="0" w:color="auto"/>
        <w:bottom w:val="none" w:sz="0" w:space="0" w:color="auto"/>
        <w:right w:val="none" w:sz="0" w:space="0" w:color="auto"/>
      </w:divBdr>
    </w:div>
    <w:div w:id="714351329">
      <w:marLeft w:val="0"/>
      <w:marRight w:val="0"/>
      <w:marTop w:val="0"/>
      <w:marBottom w:val="0"/>
      <w:divBdr>
        <w:top w:val="none" w:sz="0" w:space="0" w:color="auto"/>
        <w:left w:val="none" w:sz="0" w:space="0" w:color="auto"/>
        <w:bottom w:val="none" w:sz="0" w:space="0" w:color="auto"/>
        <w:right w:val="none" w:sz="0" w:space="0" w:color="auto"/>
      </w:divBdr>
    </w:div>
    <w:div w:id="714351330">
      <w:marLeft w:val="0"/>
      <w:marRight w:val="0"/>
      <w:marTop w:val="0"/>
      <w:marBottom w:val="0"/>
      <w:divBdr>
        <w:top w:val="none" w:sz="0" w:space="0" w:color="auto"/>
        <w:left w:val="none" w:sz="0" w:space="0" w:color="auto"/>
        <w:bottom w:val="none" w:sz="0" w:space="0" w:color="auto"/>
        <w:right w:val="none" w:sz="0" w:space="0" w:color="auto"/>
      </w:divBdr>
    </w:div>
    <w:div w:id="714351334">
      <w:marLeft w:val="0"/>
      <w:marRight w:val="0"/>
      <w:marTop w:val="0"/>
      <w:marBottom w:val="0"/>
      <w:divBdr>
        <w:top w:val="none" w:sz="0" w:space="0" w:color="auto"/>
        <w:left w:val="none" w:sz="0" w:space="0" w:color="auto"/>
        <w:bottom w:val="none" w:sz="0" w:space="0" w:color="auto"/>
        <w:right w:val="none" w:sz="0" w:space="0" w:color="auto"/>
      </w:divBdr>
    </w:div>
    <w:div w:id="714351337">
      <w:marLeft w:val="0"/>
      <w:marRight w:val="0"/>
      <w:marTop w:val="0"/>
      <w:marBottom w:val="0"/>
      <w:divBdr>
        <w:top w:val="none" w:sz="0" w:space="0" w:color="auto"/>
        <w:left w:val="none" w:sz="0" w:space="0" w:color="auto"/>
        <w:bottom w:val="none" w:sz="0" w:space="0" w:color="auto"/>
        <w:right w:val="none" w:sz="0" w:space="0" w:color="auto"/>
      </w:divBdr>
    </w:div>
    <w:div w:id="714738592">
      <w:bodyDiv w:val="1"/>
      <w:marLeft w:val="0"/>
      <w:marRight w:val="0"/>
      <w:marTop w:val="0"/>
      <w:marBottom w:val="0"/>
      <w:divBdr>
        <w:top w:val="none" w:sz="0" w:space="0" w:color="auto"/>
        <w:left w:val="none" w:sz="0" w:space="0" w:color="auto"/>
        <w:bottom w:val="none" w:sz="0" w:space="0" w:color="auto"/>
        <w:right w:val="none" w:sz="0" w:space="0" w:color="auto"/>
      </w:divBdr>
    </w:div>
    <w:div w:id="716392264">
      <w:bodyDiv w:val="1"/>
      <w:marLeft w:val="0"/>
      <w:marRight w:val="0"/>
      <w:marTop w:val="0"/>
      <w:marBottom w:val="0"/>
      <w:divBdr>
        <w:top w:val="none" w:sz="0" w:space="0" w:color="auto"/>
        <w:left w:val="none" w:sz="0" w:space="0" w:color="auto"/>
        <w:bottom w:val="none" w:sz="0" w:space="0" w:color="auto"/>
        <w:right w:val="none" w:sz="0" w:space="0" w:color="auto"/>
      </w:divBdr>
    </w:div>
    <w:div w:id="717053757">
      <w:bodyDiv w:val="1"/>
      <w:marLeft w:val="0"/>
      <w:marRight w:val="0"/>
      <w:marTop w:val="0"/>
      <w:marBottom w:val="0"/>
      <w:divBdr>
        <w:top w:val="none" w:sz="0" w:space="0" w:color="auto"/>
        <w:left w:val="none" w:sz="0" w:space="0" w:color="auto"/>
        <w:bottom w:val="none" w:sz="0" w:space="0" w:color="auto"/>
        <w:right w:val="none" w:sz="0" w:space="0" w:color="auto"/>
      </w:divBdr>
    </w:div>
    <w:div w:id="720835047">
      <w:bodyDiv w:val="1"/>
      <w:marLeft w:val="0"/>
      <w:marRight w:val="0"/>
      <w:marTop w:val="0"/>
      <w:marBottom w:val="0"/>
      <w:divBdr>
        <w:top w:val="none" w:sz="0" w:space="0" w:color="auto"/>
        <w:left w:val="none" w:sz="0" w:space="0" w:color="auto"/>
        <w:bottom w:val="none" w:sz="0" w:space="0" w:color="auto"/>
        <w:right w:val="none" w:sz="0" w:space="0" w:color="auto"/>
      </w:divBdr>
    </w:div>
    <w:div w:id="721368399">
      <w:bodyDiv w:val="1"/>
      <w:marLeft w:val="0"/>
      <w:marRight w:val="0"/>
      <w:marTop w:val="0"/>
      <w:marBottom w:val="0"/>
      <w:divBdr>
        <w:top w:val="none" w:sz="0" w:space="0" w:color="auto"/>
        <w:left w:val="none" w:sz="0" w:space="0" w:color="auto"/>
        <w:bottom w:val="none" w:sz="0" w:space="0" w:color="auto"/>
        <w:right w:val="none" w:sz="0" w:space="0" w:color="auto"/>
      </w:divBdr>
    </w:div>
    <w:div w:id="721826150">
      <w:bodyDiv w:val="1"/>
      <w:marLeft w:val="0"/>
      <w:marRight w:val="0"/>
      <w:marTop w:val="0"/>
      <w:marBottom w:val="0"/>
      <w:divBdr>
        <w:top w:val="none" w:sz="0" w:space="0" w:color="auto"/>
        <w:left w:val="none" w:sz="0" w:space="0" w:color="auto"/>
        <w:bottom w:val="none" w:sz="0" w:space="0" w:color="auto"/>
        <w:right w:val="none" w:sz="0" w:space="0" w:color="auto"/>
      </w:divBdr>
    </w:div>
    <w:div w:id="728460130">
      <w:bodyDiv w:val="1"/>
      <w:marLeft w:val="0"/>
      <w:marRight w:val="0"/>
      <w:marTop w:val="0"/>
      <w:marBottom w:val="0"/>
      <w:divBdr>
        <w:top w:val="none" w:sz="0" w:space="0" w:color="auto"/>
        <w:left w:val="none" w:sz="0" w:space="0" w:color="auto"/>
        <w:bottom w:val="none" w:sz="0" w:space="0" w:color="auto"/>
        <w:right w:val="none" w:sz="0" w:space="0" w:color="auto"/>
      </w:divBdr>
    </w:div>
    <w:div w:id="732658489">
      <w:bodyDiv w:val="1"/>
      <w:marLeft w:val="0"/>
      <w:marRight w:val="0"/>
      <w:marTop w:val="0"/>
      <w:marBottom w:val="0"/>
      <w:divBdr>
        <w:top w:val="none" w:sz="0" w:space="0" w:color="auto"/>
        <w:left w:val="none" w:sz="0" w:space="0" w:color="auto"/>
        <w:bottom w:val="none" w:sz="0" w:space="0" w:color="auto"/>
        <w:right w:val="none" w:sz="0" w:space="0" w:color="auto"/>
      </w:divBdr>
    </w:div>
    <w:div w:id="740493113">
      <w:bodyDiv w:val="1"/>
      <w:marLeft w:val="0"/>
      <w:marRight w:val="0"/>
      <w:marTop w:val="0"/>
      <w:marBottom w:val="0"/>
      <w:divBdr>
        <w:top w:val="none" w:sz="0" w:space="0" w:color="auto"/>
        <w:left w:val="none" w:sz="0" w:space="0" w:color="auto"/>
        <w:bottom w:val="none" w:sz="0" w:space="0" w:color="auto"/>
        <w:right w:val="none" w:sz="0" w:space="0" w:color="auto"/>
      </w:divBdr>
    </w:div>
    <w:div w:id="745111143">
      <w:bodyDiv w:val="1"/>
      <w:marLeft w:val="0"/>
      <w:marRight w:val="0"/>
      <w:marTop w:val="0"/>
      <w:marBottom w:val="0"/>
      <w:divBdr>
        <w:top w:val="none" w:sz="0" w:space="0" w:color="auto"/>
        <w:left w:val="none" w:sz="0" w:space="0" w:color="auto"/>
        <w:bottom w:val="none" w:sz="0" w:space="0" w:color="auto"/>
        <w:right w:val="none" w:sz="0" w:space="0" w:color="auto"/>
      </w:divBdr>
    </w:div>
    <w:div w:id="747116646">
      <w:bodyDiv w:val="1"/>
      <w:marLeft w:val="0"/>
      <w:marRight w:val="0"/>
      <w:marTop w:val="0"/>
      <w:marBottom w:val="0"/>
      <w:divBdr>
        <w:top w:val="none" w:sz="0" w:space="0" w:color="auto"/>
        <w:left w:val="none" w:sz="0" w:space="0" w:color="auto"/>
        <w:bottom w:val="none" w:sz="0" w:space="0" w:color="auto"/>
        <w:right w:val="none" w:sz="0" w:space="0" w:color="auto"/>
      </w:divBdr>
    </w:div>
    <w:div w:id="747382332">
      <w:bodyDiv w:val="1"/>
      <w:marLeft w:val="0"/>
      <w:marRight w:val="0"/>
      <w:marTop w:val="0"/>
      <w:marBottom w:val="0"/>
      <w:divBdr>
        <w:top w:val="none" w:sz="0" w:space="0" w:color="auto"/>
        <w:left w:val="none" w:sz="0" w:space="0" w:color="auto"/>
        <w:bottom w:val="none" w:sz="0" w:space="0" w:color="auto"/>
        <w:right w:val="none" w:sz="0" w:space="0" w:color="auto"/>
      </w:divBdr>
    </w:div>
    <w:div w:id="748432002">
      <w:bodyDiv w:val="1"/>
      <w:marLeft w:val="0"/>
      <w:marRight w:val="0"/>
      <w:marTop w:val="0"/>
      <w:marBottom w:val="0"/>
      <w:divBdr>
        <w:top w:val="none" w:sz="0" w:space="0" w:color="auto"/>
        <w:left w:val="none" w:sz="0" w:space="0" w:color="auto"/>
        <w:bottom w:val="none" w:sz="0" w:space="0" w:color="auto"/>
        <w:right w:val="none" w:sz="0" w:space="0" w:color="auto"/>
      </w:divBdr>
    </w:div>
    <w:div w:id="754938190">
      <w:bodyDiv w:val="1"/>
      <w:marLeft w:val="0"/>
      <w:marRight w:val="0"/>
      <w:marTop w:val="0"/>
      <w:marBottom w:val="0"/>
      <w:divBdr>
        <w:top w:val="none" w:sz="0" w:space="0" w:color="auto"/>
        <w:left w:val="none" w:sz="0" w:space="0" w:color="auto"/>
        <w:bottom w:val="none" w:sz="0" w:space="0" w:color="auto"/>
        <w:right w:val="none" w:sz="0" w:space="0" w:color="auto"/>
      </w:divBdr>
    </w:div>
    <w:div w:id="763963182">
      <w:bodyDiv w:val="1"/>
      <w:marLeft w:val="0"/>
      <w:marRight w:val="0"/>
      <w:marTop w:val="0"/>
      <w:marBottom w:val="0"/>
      <w:divBdr>
        <w:top w:val="none" w:sz="0" w:space="0" w:color="auto"/>
        <w:left w:val="none" w:sz="0" w:space="0" w:color="auto"/>
        <w:bottom w:val="none" w:sz="0" w:space="0" w:color="auto"/>
        <w:right w:val="none" w:sz="0" w:space="0" w:color="auto"/>
      </w:divBdr>
    </w:div>
    <w:div w:id="771441152">
      <w:bodyDiv w:val="1"/>
      <w:marLeft w:val="0"/>
      <w:marRight w:val="0"/>
      <w:marTop w:val="0"/>
      <w:marBottom w:val="0"/>
      <w:divBdr>
        <w:top w:val="none" w:sz="0" w:space="0" w:color="auto"/>
        <w:left w:val="none" w:sz="0" w:space="0" w:color="auto"/>
        <w:bottom w:val="none" w:sz="0" w:space="0" w:color="auto"/>
        <w:right w:val="none" w:sz="0" w:space="0" w:color="auto"/>
      </w:divBdr>
    </w:div>
    <w:div w:id="773984093">
      <w:bodyDiv w:val="1"/>
      <w:marLeft w:val="0"/>
      <w:marRight w:val="0"/>
      <w:marTop w:val="0"/>
      <w:marBottom w:val="0"/>
      <w:divBdr>
        <w:top w:val="none" w:sz="0" w:space="0" w:color="auto"/>
        <w:left w:val="none" w:sz="0" w:space="0" w:color="auto"/>
        <w:bottom w:val="none" w:sz="0" w:space="0" w:color="auto"/>
        <w:right w:val="none" w:sz="0" w:space="0" w:color="auto"/>
      </w:divBdr>
    </w:div>
    <w:div w:id="777872854">
      <w:bodyDiv w:val="1"/>
      <w:marLeft w:val="0"/>
      <w:marRight w:val="0"/>
      <w:marTop w:val="0"/>
      <w:marBottom w:val="0"/>
      <w:divBdr>
        <w:top w:val="none" w:sz="0" w:space="0" w:color="auto"/>
        <w:left w:val="none" w:sz="0" w:space="0" w:color="auto"/>
        <w:bottom w:val="none" w:sz="0" w:space="0" w:color="auto"/>
        <w:right w:val="none" w:sz="0" w:space="0" w:color="auto"/>
      </w:divBdr>
    </w:div>
    <w:div w:id="778067932">
      <w:bodyDiv w:val="1"/>
      <w:marLeft w:val="0"/>
      <w:marRight w:val="0"/>
      <w:marTop w:val="0"/>
      <w:marBottom w:val="0"/>
      <w:divBdr>
        <w:top w:val="none" w:sz="0" w:space="0" w:color="auto"/>
        <w:left w:val="none" w:sz="0" w:space="0" w:color="auto"/>
        <w:bottom w:val="none" w:sz="0" w:space="0" w:color="auto"/>
        <w:right w:val="none" w:sz="0" w:space="0" w:color="auto"/>
      </w:divBdr>
    </w:div>
    <w:div w:id="778180510">
      <w:bodyDiv w:val="1"/>
      <w:marLeft w:val="0"/>
      <w:marRight w:val="0"/>
      <w:marTop w:val="0"/>
      <w:marBottom w:val="0"/>
      <w:divBdr>
        <w:top w:val="none" w:sz="0" w:space="0" w:color="auto"/>
        <w:left w:val="none" w:sz="0" w:space="0" w:color="auto"/>
        <w:bottom w:val="none" w:sz="0" w:space="0" w:color="auto"/>
        <w:right w:val="none" w:sz="0" w:space="0" w:color="auto"/>
      </w:divBdr>
    </w:div>
    <w:div w:id="778255946">
      <w:bodyDiv w:val="1"/>
      <w:marLeft w:val="0"/>
      <w:marRight w:val="0"/>
      <w:marTop w:val="0"/>
      <w:marBottom w:val="0"/>
      <w:divBdr>
        <w:top w:val="none" w:sz="0" w:space="0" w:color="auto"/>
        <w:left w:val="none" w:sz="0" w:space="0" w:color="auto"/>
        <w:bottom w:val="none" w:sz="0" w:space="0" w:color="auto"/>
        <w:right w:val="none" w:sz="0" w:space="0" w:color="auto"/>
      </w:divBdr>
    </w:div>
    <w:div w:id="778722833">
      <w:bodyDiv w:val="1"/>
      <w:marLeft w:val="0"/>
      <w:marRight w:val="0"/>
      <w:marTop w:val="0"/>
      <w:marBottom w:val="0"/>
      <w:divBdr>
        <w:top w:val="none" w:sz="0" w:space="0" w:color="auto"/>
        <w:left w:val="none" w:sz="0" w:space="0" w:color="auto"/>
        <w:bottom w:val="none" w:sz="0" w:space="0" w:color="auto"/>
        <w:right w:val="none" w:sz="0" w:space="0" w:color="auto"/>
      </w:divBdr>
    </w:div>
    <w:div w:id="780689866">
      <w:bodyDiv w:val="1"/>
      <w:marLeft w:val="0"/>
      <w:marRight w:val="0"/>
      <w:marTop w:val="0"/>
      <w:marBottom w:val="0"/>
      <w:divBdr>
        <w:top w:val="none" w:sz="0" w:space="0" w:color="auto"/>
        <w:left w:val="none" w:sz="0" w:space="0" w:color="auto"/>
        <w:bottom w:val="none" w:sz="0" w:space="0" w:color="auto"/>
        <w:right w:val="none" w:sz="0" w:space="0" w:color="auto"/>
      </w:divBdr>
    </w:div>
    <w:div w:id="784538733">
      <w:bodyDiv w:val="1"/>
      <w:marLeft w:val="0"/>
      <w:marRight w:val="0"/>
      <w:marTop w:val="0"/>
      <w:marBottom w:val="0"/>
      <w:divBdr>
        <w:top w:val="none" w:sz="0" w:space="0" w:color="auto"/>
        <w:left w:val="none" w:sz="0" w:space="0" w:color="auto"/>
        <w:bottom w:val="none" w:sz="0" w:space="0" w:color="auto"/>
        <w:right w:val="none" w:sz="0" w:space="0" w:color="auto"/>
      </w:divBdr>
    </w:div>
    <w:div w:id="787311896">
      <w:bodyDiv w:val="1"/>
      <w:marLeft w:val="0"/>
      <w:marRight w:val="0"/>
      <w:marTop w:val="0"/>
      <w:marBottom w:val="0"/>
      <w:divBdr>
        <w:top w:val="none" w:sz="0" w:space="0" w:color="auto"/>
        <w:left w:val="none" w:sz="0" w:space="0" w:color="auto"/>
        <w:bottom w:val="none" w:sz="0" w:space="0" w:color="auto"/>
        <w:right w:val="none" w:sz="0" w:space="0" w:color="auto"/>
      </w:divBdr>
    </w:div>
    <w:div w:id="787898325">
      <w:bodyDiv w:val="1"/>
      <w:marLeft w:val="0"/>
      <w:marRight w:val="0"/>
      <w:marTop w:val="0"/>
      <w:marBottom w:val="0"/>
      <w:divBdr>
        <w:top w:val="none" w:sz="0" w:space="0" w:color="auto"/>
        <w:left w:val="none" w:sz="0" w:space="0" w:color="auto"/>
        <w:bottom w:val="none" w:sz="0" w:space="0" w:color="auto"/>
        <w:right w:val="none" w:sz="0" w:space="0" w:color="auto"/>
      </w:divBdr>
    </w:div>
    <w:div w:id="788669407">
      <w:bodyDiv w:val="1"/>
      <w:marLeft w:val="0"/>
      <w:marRight w:val="0"/>
      <w:marTop w:val="0"/>
      <w:marBottom w:val="0"/>
      <w:divBdr>
        <w:top w:val="none" w:sz="0" w:space="0" w:color="auto"/>
        <w:left w:val="none" w:sz="0" w:space="0" w:color="auto"/>
        <w:bottom w:val="none" w:sz="0" w:space="0" w:color="auto"/>
        <w:right w:val="none" w:sz="0" w:space="0" w:color="auto"/>
      </w:divBdr>
    </w:div>
    <w:div w:id="812716221">
      <w:bodyDiv w:val="1"/>
      <w:marLeft w:val="0"/>
      <w:marRight w:val="0"/>
      <w:marTop w:val="0"/>
      <w:marBottom w:val="0"/>
      <w:divBdr>
        <w:top w:val="none" w:sz="0" w:space="0" w:color="auto"/>
        <w:left w:val="none" w:sz="0" w:space="0" w:color="auto"/>
        <w:bottom w:val="none" w:sz="0" w:space="0" w:color="auto"/>
        <w:right w:val="none" w:sz="0" w:space="0" w:color="auto"/>
      </w:divBdr>
    </w:div>
    <w:div w:id="815806622">
      <w:bodyDiv w:val="1"/>
      <w:marLeft w:val="0"/>
      <w:marRight w:val="0"/>
      <w:marTop w:val="0"/>
      <w:marBottom w:val="0"/>
      <w:divBdr>
        <w:top w:val="none" w:sz="0" w:space="0" w:color="auto"/>
        <w:left w:val="none" w:sz="0" w:space="0" w:color="auto"/>
        <w:bottom w:val="none" w:sz="0" w:space="0" w:color="auto"/>
        <w:right w:val="none" w:sz="0" w:space="0" w:color="auto"/>
      </w:divBdr>
    </w:div>
    <w:div w:id="816148207">
      <w:bodyDiv w:val="1"/>
      <w:marLeft w:val="0"/>
      <w:marRight w:val="0"/>
      <w:marTop w:val="0"/>
      <w:marBottom w:val="0"/>
      <w:divBdr>
        <w:top w:val="none" w:sz="0" w:space="0" w:color="auto"/>
        <w:left w:val="none" w:sz="0" w:space="0" w:color="auto"/>
        <w:bottom w:val="none" w:sz="0" w:space="0" w:color="auto"/>
        <w:right w:val="none" w:sz="0" w:space="0" w:color="auto"/>
      </w:divBdr>
    </w:div>
    <w:div w:id="818115803">
      <w:bodyDiv w:val="1"/>
      <w:marLeft w:val="0"/>
      <w:marRight w:val="0"/>
      <w:marTop w:val="0"/>
      <w:marBottom w:val="0"/>
      <w:divBdr>
        <w:top w:val="none" w:sz="0" w:space="0" w:color="auto"/>
        <w:left w:val="none" w:sz="0" w:space="0" w:color="auto"/>
        <w:bottom w:val="none" w:sz="0" w:space="0" w:color="auto"/>
        <w:right w:val="none" w:sz="0" w:space="0" w:color="auto"/>
      </w:divBdr>
    </w:div>
    <w:div w:id="822350803">
      <w:bodyDiv w:val="1"/>
      <w:marLeft w:val="0"/>
      <w:marRight w:val="0"/>
      <w:marTop w:val="0"/>
      <w:marBottom w:val="0"/>
      <w:divBdr>
        <w:top w:val="none" w:sz="0" w:space="0" w:color="auto"/>
        <w:left w:val="none" w:sz="0" w:space="0" w:color="auto"/>
        <w:bottom w:val="none" w:sz="0" w:space="0" w:color="auto"/>
        <w:right w:val="none" w:sz="0" w:space="0" w:color="auto"/>
      </w:divBdr>
    </w:div>
    <w:div w:id="825512436">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
    <w:div w:id="830026805">
      <w:bodyDiv w:val="1"/>
      <w:marLeft w:val="0"/>
      <w:marRight w:val="0"/>
      <w:marTop w:val="0"/>
      <w:marBottom w:val="0"/>
      <w:divBdr>
        <w:top w:val="none" w:sz="0" w:space="0" w:color="auto"/>
        <w:left w:val="none" w:sz="0" w:space="0" w:color="auto"/>
        <w:bottom w:val="none" w:sz="0" w:space="0" w:color="auto"/>
        <w:right w:val="none" w:sz="0" w:space="0" w:color="auto"/>
      </w:divBdr>
    </w:div>
    <w:div w:id="834416389">
      <w:bodyDiv w:val="1"/>
      <w:marLeft w:val="0"/>
      <w:marRight w:val="0"/>
      <w:marTop w:val="0"/>
      <w:marBottom w:val="0"/>
      <w:divBdr>
        <w:top w:val="none" w:sz="0" w:space="0" w:color="auto"/>
        <w:left w:val="none" w:sz="0" w:space="0" w:color="auto"/>
        <w:bottom w:val="none" w:sz="0" w:space="0" w:color="auto"/>
        <w:right w:val="none" w:sz="0" w:space="0" w:color="auto"/>
      </w:divBdr>
    </w:div>
    <w:div w:id="847789542">
      <w:bodyDiv w:val="1"/>
      <w:marLeft w:val="0"/>
      <w:marRight w:val="0"/>
      <w:marTop w:val="0"/>
      <w:marBottom w:val="0"/>
      <w:divBdr>
        <w:top w:val="none" w:sz="0" w:space="0" w:color="auto"/>
        <w:left w:val="none" w:sz="0" w:space="0" w:color="auto"/>
        <w:bottom w:val="none" w:sz="0" w:space="0" w:color="auto"/>
        <w:right w:val="none" w:sz="0" w:space="0" w:color="auto"/>
      </w:divBdr>
    </w:div>
    <w:div w:id="853416733">
      <w:bodyDiv w:val="1"/>
      <w:marLeft w:val="0"/>
      <w:marRight w:val="0"/>
      <w:marTop w:val="0"/>
      <w:marBottom w:val="0"/>
      <w:divBdr>
        <w:top w:val="none" w:sz="0" w:space="0" w:color="auto"/>
        <w:left w:val="none" w:sz="0" w:space="0" w:color="auto"/>
        <w:bottom w:val="none" w:sz="0" w:space="0" w:color="auto"/>
        <w:right w:val="none" w:sz="0" w:space="0" w:color="auto"/>
      </w:divBdr>
    </w:div>
    <w:div w:id="853808895">
      <w:bodyDiv w:val="1"/>
      <w:marLeft w:val="0"/>
      <w:marRight w:val="0"/>
      <w:marTop w:val="0"/>
      <w:marBottom w:val="0"/>
      <w:divBdr>
        <w:top w:val="none" w:sz="0" w:space="0" w:color="auto"/>
        <w:left w:val="none" w:sz="0" w:space="0" w:color="auto"/>
        <w:bottom w:val="none" w:sz="0" w:space="0" w:color="auto"/>
        <w:right w:val="none" w:sz="0" w:space="0" w:color="auto"/>
      </w:divBdr>
    </w:div>
    <w:div w:id="857500264">
      <w:bodyDiv w:val="1"/>
      <w:marLeft w:val="0"/>
      <w:marRight w:val="0"/>
      <w:marTop w:val="0"/>
      <w:marBottom w:val="0"/>
      <w:divBdr>
        <w:top w:val="none" w:sz="0" w:space="0" w:color="auto"/>
        <w:left w:val="none" w:sz="0" w:space="0" w:color="auto"/>
        <w:bottom w:val="none" w:sz="0" w:space="0" w:color="auto"/>
        <w:right w:val="none" w:sz="0" w:space="0" w:color="auto"/>
      </w:divBdr>
    </w:div>
    <w:div w:id="861824278">
      <w:bodyDiv w:val="1"/>
      <w:marLeft w:val="0"/>
      <w:marRight w:val="0"/>
      <w:marTop w:val="0"/>
      <w:marBottom w:val="0"/>
      <w:divBdr>
        <w:top w:val="none" w:sz="0" w:space="0" w:color="auto"/>
        <w:left w:val="none" w:sz="0" w:space="0" w:color="auto"/>
        <w:bottom w:val="none" w:sz="0" w:space="0" w:color="auto"/>
        <w:right w:val="none" w:sz="0" w:space="0" w:color="auto"/>
      </w:divBdr>
    </w:div>
    <w:div w:id="862323825">
      <w:bodyDiv w:val="1"/>
      <w:marLeft w:val="0"/>
      <w:marRight w:val="0"/>
      <w:marTop w:val="0"/>
      <w:marBottom w:val="0"/>
      <w:divBdr>
        <w:top w:val="none" w:sz="0" w:space="0" w:color="auto"/>
        <w:left w:val="none" w:sz="0" w:space="0" w:color="auto"/>
        <w:bottom w:val="none" w:sz="0" w:space="0" w:color="auto"/>
        <w:right w:val="none" w:sz="0" w:space="0" w:color="auto"/>
      </w:divBdr>
    </w:div>
    <w:div w:id="863593995">
      <w:bodyDiv w:val="1"/>
      <w:marLeft w:val="0"/>
      <w:marRight w:val="0"/>
      <w:marTop w:val="0"/>
      <w:marBottom w:val="0"/>
      <w:divBdr>
        <w:top w:val="none" w:sz="0" w:space="0" w:color="auto"/>
        <w:left w:val="none" w:sz="0" w:space="0" w:color="auto"/>
        <w:bottom w:val="none" w:sz="0" w:space="0" w:color="auto"/>
        <w:right w:val="none" w:sz="0" w:space="0" w:color="auto"/>
      </w:divBdr>
    </w:div>
    <w:div w:id="864828968">
      <w:bodyDiv w:val="1"/>
      <w:marLeft w:val="0"/>
      <w:marRight w:val="0"/>
      <w:marTop w:val="0"/>
      <w:marBottom w:val="0"/>
      <w:divBdr>
        <w:top w:val="none" w:sz="0" w:space="0" w:color="auto"/>
        <w:left w:val="none" w:sz="0" w:space="0" w:color="auto"/>
        <w:bottom w:val="none" w:sz="0" w:space="0" w:color="auto"/>
        <w:right w:val="none" w:sz="0" w:space="0" w:color="auto"/>
      </w:divBdr>
    </w:div>
    <w:div w:id="866215198">
      <w:bodyDiv w:val="1"/>
      <w:marLeft w:val="0"/>
      <w:marRight w:val="0"/>
      <w:marTop w:val="0"/>
      <w:marBottom w:val="0"/>
      <w:divBdr>
        <w:top w:val="none" w:sz="0" w:space="0" w:color="auto"/>
        <w:left w:val="none" w:sz="0" w:space="0" w:color="auto"/>
        <w:bottom w:val="none" w:sz="0" w:space="0" w:color="auto"/>
        <w:right w:val="none" w:sz="0" w:space="0" w:color="auto"/>
      </w:divBdr>
    </w:div>
    <w:div w:id="877472030">
      <w:bodyDiv w:val="1"/>
      <w:marLeft w:val="0"/>
      <w:marRight w:val="0"/>
      <w:marTop w:val="0"/>
      <w:marBottom w:val="0"/>
      <w:divBdr>
        <w:top w:val="none" w:sz="0" w:space="0" w:color="auto"/>
        <w:left w:val="none" w:sz="0" w:space="0" w:color="auto"/>
        <w:bottom w:val="none" w:sz="0" w:space="0" w:color="auto"/>
        <w:right w:val="none" w:sz="0" w:space="0" w:color="auto"/>
      </w:divBdr>
    </w:div>
    <w:div w:id="878588451">
      <w:bodyDiv w:val="1"/>
      <w:marLeft w:val="0"/>
      <w:marRight w:val="0"/>
      <w:marTop w:val="0"/>
      <w:marBottom w:val="0"/>
      <w:divBdr>
        <w:top w:val="none" w:sz="0" w:space="0" w:color="auto"/>
        <w:left w:val="none" w:sz="0" w:space="0" w:color="auto"/>
        <w:bottom w:val="none" w:sz="0" w:space="0" w:color="auto"/>
        <w:right w:val="none" w:sz="0" w:space="0" w:color="auto"/>
      </w:divBdr>
    </w:div>
    <w:div w:id="880554702">
      <w:bodyDiv w:val="1"/>
      <w:marLeft w:val="0"/>
      <w:marRight w:val="0"/>
      <w:marTop w:val="0"/>
      <w:marBottom w:val="0"/>
      <w:divBdr>
        <w:top w:val="none" w:sz="0" w:space="0" w:color="auto"/>
        <w:left w:val="none" w:sz="0" w:space="0" w:color="auto"/>
        <w:bottom w:val="none" w:sz="0" w:space="0" w:color="auto"/>
        <w:right w:val="none" w:sz="0" w:space="0" w:color="auto"/>
      </w:divBdr>
    </w:div>
    <w:div w:id="885334323">
      <w:bodyDiv w:val="1"/>
      <w:marLeft w:val="0"/>
      <w:marRight w:val="0"/>
      <w:marTop w:val="0"/>
      <w:marBottom w:val="0"/>
      <w:divBdr>
        <w:top w:val="none" w:sz="0" w:space="0" w:color="auto"/>
        <w:left w:val="none" w:sz="0" w:space="0" w:color="auto"/>
        <w:bottom w:val="none" w:sz="0" w:space="0" w:color="auto"/>
        <w:right w:val="none" w:sz="0" w:space="0" w:color="auto"/>
      </w:divBdr>
    </w:div>
    <w:div w:id="887450448">
      <w:bodyDiv w:val="1"/>
      <w:marLeft w:val="0"/>
      <w:marRight w:val="0"/>
      <w:marTop w:val="0"/>
      <w:marBottom w:val="0"/>
      <w:divBdr>
        <w:top w:val="none" w:sz="0" w:space="0" w:color="auto"/>
        <w:left w:val="none" w:sz="0" w:space="0" w:color="auto"/>
        <w:bottom w:val="none" w:sz="0" w:space="0" w:color="auto"/>
        <w:right w:val="none" w:sz="0" w:space="0" w:color="auto"/>
      </w:divBdr>
      <w:divsChild>
        <w:div w:id="1295939610">
          <w:marLeft w:val="0"/>
          <w:marRight w:val="0"/>
          <w:marTop w:val="0"/>
          <w:marBottom w:val="0"/>
          <w:divBdr>
            <w:top w:val="none" w:sz="0" w:space="0" w:color="auto"/>
            <w:left w:val="none" w:sz="0" w:space="0" w:color="auto"/>
            <w:bottom w:val="none" w:sz="0" w:space="0" w:color="auto"/>
            <w:right w:val="none" w:sz="0" w:space="0" w:color="auto"/>
          </w:divBdr>
        </w:div>
      </w:divsChild>
    </w:div>
    <w:div w:id="889538994">
      <w:bodyDiv w:val="1"/>
      <w:marLeft w:val="0"/>
      <w:marRight w:val="0"/>
      <w:marTop w:val="0"/>
      <w:marBottom w:val="0"/>
      <w:divBdr>
        <w:top w:val="none" w:sz="0" w:space="0" w:color="auto"/>
        <w:left w:val="none" w:sz="0" w:space="0" w:color="auto"/>
        <w:bottom w:val="none" w:sz="0" w:space="0" w:color="auto"/>
        <w:right w:val="none" w:sz="0" w:space="0" w:color="auto"/>
      </w:divBdr>
    </w:div>
    <w:div w:id="890380523">
      <w:bodyDiv w:val="1"/>
      <w:marLeft w:val="0"/>
      <w:marRight w:val="0"/>
      <w:marTop w:val="0"/>
      <w:marBottom w:val="0"/>
      <w:divBdr>
        <w:top w:val="none" w:sz="0" w:space="0" w:color="auto"/>
        <w:left w:val="none" w:sz="0" w:space="0" w:color="auto"/>
        <w:bottom w:val="none" w:sz="0" w:space="0" w:color="auto"/>
        <w:right w:val="none" w:sz="0" w:space="0" w:color="auto"/>
      </w:divBdr>
    </w:div>
    <w:div w:id="891694568">
      <w:bodyDiv w:val="1"/>
      <w:marLeft w:val="0"/>
      <w:marRight w:val="0"/>
      <w:marTop w:val="0"/>
      <w:marBottom w:val="0"/>
      <w:divBdr>
        <w:top w:val="none" w:sz="0" w:space="0" w:color="auto"/>
        <w:left w:val="none" w:sz="0" w:space="0" w:color="auto"/>
        <w:bottom w:val="none" w:sz="0" w:space="0" w:color="auto"/>
        <w:right w:val="none" w:sz="0" w:space="0" w:color="auto"/>
      </w:divBdr>
    </w:div>
    <w:div w:id="895625627">
      <w:bodyDiv w:val="1"/>
      <w:marLeft w:val="0"/>
      <w:marRight w:val="0"/>
      <w:marTop w:val="0"/>
      <w:marBottom w:val="0"/>
      <w:divBdr>
        <w:top w:val="none" w:sz="0" w:space="0" w:color="auto"/>
        <w:left w:val="none" w:sz="0" w:space="0" w:color="auto"/>
        <w:bottom w:val="none" w:sz="0" w:space="0" w:color="auto"/>
        <w:right w:val="none" w:sz="0" w:space="0" w:color="auto"/>
      </w:divBdr>
    </w:div>
    <w:div w:id="904022861">
      <w:bodyDiv w:val="1"/>
      <w:marLeft w:val="0"/>
      <w:marRight w:val="0"/>
      <w:marTop w:val="0"/>
      <w:marBottom w:val="0"/>
      <w:divBdr>
        <w:top w:val="none" w:sz="0" w:space="0" w:color="auto"/>
        <w:left w:val="none" w:sz="0" w:space="0" w:color="auto"/>
        <w:bottom w:val="none" w:sz="0" w:space="0" w:color="auto"/>
        <w:right w:val="none" w:sz="0" w:space="0" w:color="auto"/>
      </w:divBdr>
    </w:div>
    <w:div w:id="910390353">
      <w:bodyDiv w:val="1"/>
      <w:marLeft w:val="0"/>
      <w:marRight w:val="0"/>
      <w:marTop w:val="0"/>
      <w:marBottom w:val="0"/>
      <w:divBdr>
        <w:top w:val="none" w:sz="0" w:space="0" w:color="auto"/>
        <w:left w:val="none" w:sz="0" w:space="0" w:color="auto"/>
        <w:bottom w:val="none" w:sz="0" w:space="0" w:color="auto"/>
        <w:right w:val="none" w:sz="0" w:space="0" w:color="auto"/>
      </w:divBdr>
    </w:div>
    <w:div w:id="915355829">
      <w:bodyDiv w:val="1"/>
      <w:marLeft w:val="0"/>
      <w:marRight w:val="0"/>
      <w:marTop w:val="0"/>
      <w:marBottom w:val="0"/>
      <w:divBdr>
        <w:top w:val="none" w:sz="0" w:space="0" w:color="auto"/>
        <w:left w:val="none" w:sz="0" w:space="0" w:color="auto"/>
        <w:bottom w:val="none" w:sz="0" w:space="0" w:color="auto"/>
        <w:right w:val="none" w:sz="0" w:space="0" w:color="auto"/>
      </w:divBdr>
    </w:div>
    <w:div w:id="925962865">
      <w:bodyDiv w:val="1"/>
      <w:marLeft w:val="0"/>
      <w:marRight w:val="0"/>
      <w:marTop w:val="0"/>
      <w:marBottom w:val="0"/>
      <w:divBdr>
        <w:top w:val="none" w:sz="0" w:space="0" w:color="auto"/>
        <w:left w:val="none" w:sz="0" w:space="0" w:color="auto"/>
        <w:bottom w:val="none" w:sz="0" w:space="0" w:color="auto"/>
        <w:right w:val="none" w:sz="0" w:space="0" w:color="auto"/>
      </w:divBdr>
    </w:div>
    <w:div w:id="928543714">
      <w:bodyDiv w:val="1"/>
      <w:marLeft w:val="0"/>
      <w:marRight w:val="0"/>
      <w:marTop w:val="0"/>
      <w:marBottom w:val="0"/>
      <w:divBdr>
        <w:top w:val="none" w:sz="0" w:space="0" w:color="auto"/>
        <w:left w:val="none" w:sz="0" w:space="0" w:color="auto"/>
        <w:bottom w:val="none" w:sz="0" w:space="0" w:color="auto"/>
        <w:right w:val="none" w:sz="0" w:space="0" w:color="auto"/>
      </w:divBdr>
    </w:div>
    <w:div w:id="929240043">
      <w:bodyDiv w:val="1"/>
      <w:marLeft w:val="0"/>
      <w:marRight w:val="0"/>
      <w:marTop w:val="0"/>
      <w:marBottom w:val="0"/>
      <w:divBdr>
        <w:top w:val="none" w:sz="0" w:space="0" w:color="auto"/>
        <w:left w:val="none" w:sz="0" w:space="0" w:color="auto"/>
        <w:bottom w:val="none" w:sz="0" w:space="0" w:color="auto"/>
        <w:right w:val="none" w:sz="0" w:space="0" w:color="auto"/>
      </w:divBdr>
    </w:div>
    <w:div w:id="929697815">
      <w:bodyDiv w:val="1"/>
      <w:marLeft w:val="0"/>
      <w:marRight w:val="0"/>
      <w:marTop w:val="0"/>
      <w:marBottom w:val="0"/>
      <w:divBdr>
        <w:top w:val="none" w:sz="0" w:space="0" w:color="auto"/>
        <w:left w:val="none" w:sz="0" w:space="0" w:color="auto"/>
        <w:bottom w:val="none" w:sz="0" w:space="0" w:color="auto"/>
        <w:right w:val="none" w:sz="0" w:space="0" w:color="auto"/>
      </w:divBdr>
    </w:div>
    <w:div w:id="936712924">
      <w:bodyDiv w:val="1"/>
      <w:marLeft w:val="0"/>
      <w:marRight w:val="0"/>
      <w:marTop w:val="0"/>
      <w:marBottom w:val="0"/>
      <w:divBdr>
        <w:top w:val="none" w:sz="0" w:space="0" w:color="auto"/>
        <w:left w:val="none" w:sz="0" w:space="0" w:color="auto"/>
        <w:bottom w:val="none" w:sz="0" w:space="0" w:color="auto"/>
        <w:right w:val="none" w:sz="0" w:space="0" w:color="auto"/>
      </w:divBdr>
    </w:div>
    <w:div w:id="938299540">
      <w:bodyDiv w:val="1"/>
      <w:marLeft w:val="0"/>
      <w:marRight w:val="0"/>
      <w:marTop w:val="0"/>
      <w:marBottom w:val="0"/>
      <w:divBdr>
        <w:top w:val="none" w:sz="0" w:space="0" w:color="auto"/>
        <w:left w:val="none" w:sz="0" w:space="0" w:color="auto"/>
        <w:bottom w:val="none" w:sz="0" w:space="0" w:color="auto"/>
        <w:right w:val="none" w:sz="0" w:space="0" w:color="auto"/>
      </w:divBdr>
    </w:div>
    <w:div w:id="938835442">
      <w:bodyDiv w:val="1"/>
      <w:marLeft w:val="0"/>
      <w:marRight w:val="0"/>
      <w:marTop w:val="0"/>
      <w:marBottom w:val="0"/>
      <w:divBdr>
        <w:top w:val="none" w:sz="0" w:space="0" w:color="auto"/>
        <w:left w:val="none" w:sz="0" w:space="0" w:color="auto"/>
        <w:bottom w:val="none" w:sz="0" w:space="0" w:color="auto"/>
        <w:right w:val="none" w:sz="0" w:space="0" w:color="auto"/>
      </w:divBdr>
    </w:div>
    <w:div w:id="941961362">
      <w:bodyDiv w:val="1"/>
      <w:marLeft w:val="0"/>
      <w:marRight w:val="0"/>
      <w:marTop w:val="0"/>
      <w:marBottom w:val="0"/>
      <w:divBdr>
        <w:top w:val="none" w:sz="0" w:space="0" w:color="auto"/>
        <w:left w:val="none" w:sz="0" w:space="0" w:color="auto"/>
        <w:bottom w:val="none" w:sz="0" w:space="0" w:color="auto"/>
        <w:right w:val="none" w:sz="0" w:space="0" w:color="auto"/>
      </w:divBdr>
    </w:div>
    <w:div w:id="943273067">
      <w:bodyDiv w:val="1"/>
      <w:marLeft w:val="0"/>
      <w:marRight w:val="0"/>
      <w:marTop w:val="0"/>
      <w:marBottom w:val="0"/>
      <w:divBdr>
        <w:top w:val="none" w:sz="0" w:space="0" w:color="auto"/>
        <w:left w:val="none" w:sz="0" w:space="0" w:color="auto"/>
        <w:bottom w:val="none" w:sz="0" w:space="0" w:color="auto"/>
        <w:right w:val="none" w:sz="0" w:space="0" w:color="auto"/>
      </w:divBdr>
    </w:div>
    <w:div w:id="951060772">
      <w:bodyDiv w:val="1"/>
      <w:marLeft w:val="0"/>
      <w:marRight w:val="0"/>
      <w:marTop w:val="0"/>
      <w:marBottom w:val="0"/>
      <w:divBdr>
        <w:top w:val="none" w:sz="0" w:space="0" w:color="auto"/>
        <w:left w:val="none" w:sz="0" w:space="0" w:color="auto"/>
        <w:bottom w:val="none" w:sz="0" w:space="0" w:color="auto"/>
        <w:right w:val="none" w:sz="0" w:space="0" w:color="auto"/>
      </w:divBdr>
    </w:div>
    <w:div w:id="952244368">
      <w:bodyDiv w:val="1"/>
      <w:marLeft w:val="0"/>
      <w:marRight w:val="0"/>
      <w:marTop w:val="0"/>
      <w:marBottom w:val="0"/>
      <w:divBdr>
        <w:top w:val="none" w:sz="0" w:space="0" w:color="auto"/>
        <w:left w:val="none" w:sz="0" w:space="0" w:color="auto"/>
        <w:bottom w:val="none" w:sz="0" w:space="0" w:color="auto"/>
        <w:right w:val="none" w:sz="0" w:space="0" w:color="auto"/>
      </w:divBdr>
    </w:div>
    <w:div w:id="957103515">
      <w:bodyDiv w:val="1"/>
      <w:marLeft w:val="0"/>
      <w:marRight w:val="0"/>
      <w:marTop w:val="0"/>
      <w:marBottom w:val="0"/>
      <w:divBdr>
        <w:top w:val="none" w:sz="0" w:space="0" w:color="auto"/>
        <w:left w:val="none" w:sz="0" w:space="0" w:color="auto"/>
        <w:bottom w:val="none" w:sz="0" w:space="0" w:color="auto"/>
        <w:right w:val="none" w:sz="0" w:space="0" w:color="auto"/>
      </w:divBdr>
      <w:divsChild>
        <w:div w:id="1531331724">
          <w:marLeft w:val="0"/>
          <w:marRight w:val="0"/>
          <w:marTop w:val="0"/>
          <w:marBottom w:val="0"/>
          <w:divBdr>
            <w:top w:val="none" w:sz="0" w:space="0" w:color="auto"/>
            <w:left w:val="none" w:sz="0" w:space="0" w:color="auto"/>
            <w:bottom w:val="none" w:sz="0" w:space="0" w:color="auto"/>
            <w:right w:val="none" w:sz="0" w:space="0" w:color="auto"/>
          </w:divBdr>
          <w:divsChild>
            <w:div w:id="40983904">
              <w:marLeft w:val="0"/>
              <w:marRight w:val="0"/>
              <w:marTop w:val="0"/>
              <w:marBottom w:val="0"/>
              <w:divBdr>
                <w:top w:val="none" w:sz="0" w:space="0" w:color="auto"/>
                <w:left w:val="none" w:sz="0" w:space="0" w:color="auto"/>
                <w:bottom w:val="none" w:sz="0" w:space="0" w:color="auto"/>
                <w:right w:val="none" w:sz="0" w:space="0" w:color="auto"/>
              </w:divBdr>
              <w:divsChild>
                <w:div w:id="1041903102">
                  <w:marLeft w:val="0"/>
                  <w:marRight w:val="0"/>
                  <w:marTop w:val="0"/>
                  <w:marBottom w:val="0"/>
                  <w:divBdr>
                    <w:top w:val="none" w:sz="0" w:space="0" w:color="auto"/>
                    <w:left w:val="none" w:sz="0" w:space="0" w:color="auto"/>
                    <w:bottom w:val="none" w:sz="0" w:space="0" w:color="auto"/>
                    <w:right w:val="none" w:sz="0" w:space="0" w:color="auto"/>
                  </w:divBdr>
                  <w:divsChild>
                    <w:div w:id="251821323">
                      <w:marLeft w:val="0"/>
                      <w:marRight w:val="0"/>
                      <w:marTop w:val="0"/>
                      <w:marBottom w:val="0"/>
                      <w:divBdr>
                        <w:top w:val="none" w:sz="0" w:space="0" w:color="auto"/>
                        <w:left w:val="none" w:sz="0" w:space="0" w:color="auto"/>
                        <w:bottom w:val="none" w:sz="0" w:space="0" w:color="auto"/>
                        <w:right w:val="none" w:sz="0" w:space="0" w:color="auto"/>
                      </w:divBdr>
                      <w:divsChild>
                        <w:div w:id="896626703">
                          <w:marLeft w:val="-360"/>
                          <w:marRight w:val="-360"/>
                          <w:marTop w:val="0"/>
                          <w:marBottom w:val="0"/>
                          <w:divBdr>
                            <w:top w:val="none" w:sz="0" w:space="0" w:color="auto"/>
                            <w:left w:val="none" w:sz="0" w:space="0" w:color="auto"/>
                            <w:bottom w:val="none" w:sz="0" w:space="0" w:color="auto"/>
                            <w:right w:val="none" w:sz="0" w:space="0" w:color="auto"/>
                          </w:divBdr>
                          <w:divsChild>
                            <w:div w:id="1369183929">
                              <w:marLeft w:val="0"/>
                              <w:marRight w:val="0"/>
                              <w:marTop w:val="0"/>
                              <w:marBottom w:val="0"/>
                              <w:divBdr>
                                <w:top w:val="none" w:sz="0" w:space="0" w:color="auto"/>
                                <w:left w:val="none" w:sz="0" w:space="0" w:color="auto"/>
                                <w:bottom w:val="none" w:sz="0" w:space="0" w:color="auto"/>
                                <w:right w:val="none" w:sz="0" w:space="0" w:color="auto"/>
                              </w:divBdr>
                              <w:divsChild>
                                <w:div w:id="1768697121">
                                  <w:marLeft w:val="0"/>
                                  <w:marRight w:val="0"/>
                                  <w:marTop w:val="0"/>
                                  <w:marBottom w:val="0"/>
                                  <w:divBdr>
                                    <w:top w:val="none" w:sz="0" w:space="0" w:color="auto"/>
                                    <w:left w:val="none" w:sz="0" w:space="0" w:color="auto"/>
                                    <w:bottom w:val="none" w:sz="0" w:space="0" w:color="auto"/>
                                    <w:right w:val="none" w:sz="0" w:space="0" w:color="auto"/>
                                  </w:divBdr>
                                  <w:divsChild>
                                    <w:div w:id="204782584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58827">
      <w:bodyDiv w:val="1"/>
      <w:marLeft w:val="0"/>
      <w:marRight w:val="0"/>
      <w:marTop w:val="0"/>
      <w:marBottom w:val="0"/>
      <w:divBdr>
        <w:top w:val="none" w:sz="0" w:space="0" w:color="auto"/>
        <w:left w:val="none" w:sz="0" w:space="0" w:color="auto"/>
        <w:bottom w:val="none" w:sz="0" w:space="0" w:color="auto"/>
        <w:right w:val="none" w:sz="0" w:space="0" w:color="auto"/>
      </w:divBdr>
    </w:div>
    <w:div w:id="972323051">
      <w:bodyDiv w:val="1"/>
      <w:marLeft w:val="0"/>
      <w:marRight w:val="0"/>
      <w:marTop w:val="0"/>
      <w:marBottom w:val="0"/>
      <w:divBdr>
        <w:top w:val="none" w:sz="0" w:space="0" w:color="auto"/>
        <w:left w:val="none" w:sz="0" w:space="0" w:color="auto"/>
        <w:bottom w:val="none" w:sz="0" w:space="0" w:color="auto"/>
        <w:right w:val="none" w:sz="0" w:space="0" w:color="auto"/>
      </w:divBdr>
    </w:div>
    <w:div w:id="972760032">
      <w:bodyDiv w:val="1"/>
      <w:marLeft w:val="0"/>
      <w:marRight w:val="0"/>
      <w:marTop w:val="0"/>
      <w:marBottom w:val="0"/>
      <w:divBdr>
        <w:top w:val="none" w:sz="0" w:space="0" w:color="auto"/>
        <w:left w:val="none" w:sz="0" w:space="0" w:color="auto"/>
        <w:bottom w:val="none" w:sz="0" w:space="0" w:color="auto"/>
        <w:right w:val="none" w:sz="0" w:space="0" w:color="auto"/>
      </w:divBdr>
    </w:div>
    <w:div w:id="975984508">
      <w:bodyDiv w:val="1"/>
      <w:marLeft w:val="0"/>
      <w:marRight w:val="0"/>
      <w:marTop w:val="0"/>
      <w:marBottom w:val="0"/>
      <w:divBdr>
        <w:top w:val="none" w:sz="0" w:space="0" w:color="auto"/>
        <w:left w:val="none" w:sz="0" w:space="0" w:color="auto"/>
        <w:bottom w:val="none" w:sz="0" w:space="0" w:color="auto"/>
        <w:right w:val="none" w:sz="0" w:space="0" w:color="auto"/>
      </w:divBdr>
    </w:div>
    <w:div w:id="980038652">
      <w:bodyDiv w:val="1"/>
      <w:marLeft w:val="0"/>
      <w:marRight w:val="0"/>
      <w:marTop w:val="0"/>
      <w:marBottom w:val="0"/>
      <w:divBdr>
        <w:top w:val="none" w:sz="0" w:space="0" w:color="auto"/>
        <w:left w:val="none" w:sz="0" w:space="0" w:color="auto"/>
        <w:bottom w:val="none" w:sz="0" w:space="0" w:color="auto"/>
        <w:right w:val="none" w:sz="0" w:space="0" w:color="auto"/>
      </w:divBdr>
    </w:div>
    <w:div w:id="980884831">
      <w:bodyDiv w:val="1"/>
      <w:marLeft w:val="0"/>
      <w:marRight w:val="0"/>
      <w:marTop w:val="0"/>
      <w:marBottom w:val="0"/>
      <w:divBdr>
        <w:top w:val="none" w:sz="0" w:space="0" w:color="auto"/>
        <w:left w:val="none" w:sz="0" w:space="0" w:color="auto"/>
        <w:bottom w:val="none" w:sz="0" w:space="0" w:color="auto"/>
        <w:right w:val="none" w:sz="0" w:space="0" w:color="auto"/>
      </w:divBdr>
    </w:div>
    <w:div w:id="983001552">
      <w:bodyDiv w:val="1"/>
      <w:marLeft w:val="0"/>
      <w:marRight w:val="0"/>
      <w:marTop w:val="0"/>
      <w:marBottom w:val="0"/>
      <w:divBdr>
        <w:top w:val="none" w:sz="0" w:space="0" w:color="auto"/>
        <w:left w:val="none" w:sz="0" w:space="0" w:color="auto"/>
        <w:bottom w:val="none" w:sz="0" w:space="0" w:color="auto"/>
        <w:right w:val="none" w:sz="0" w:space="0" w:color="auto"/>
      </w:divBdr>
    </w:div>
    <w:div w:id="992685178">
      <w:bodyDiv w:val="1"/>
      <w:marLeft w:val="0"/>
      <w:marRight w:val="0"/>
      <w:marTop w:val="0"/>
      <w:marBottom w:val="0"/>
      <w:divBdr>
        <w:top w:val="none" w:sz="0" w:space="0" w:color="auto"/>
        <w:left w:val="none" w:sz="0" w:space="0" w:color="auto"/>
        <w:bottom w:val="none" w:sz="0" w:space="0" w:color="auto"/>
        <w:right w:val="none" w:sz="0" w:space="0" w:color="auto"/>
      </w:divBdr>
    </w:div>
    <w:div w:id="1004430924">
      <w:bodyDiv w:val="1"/>
      <w:marLeft w:val="0"/>
      <w:marRight w:val="0"/>
      <w:marTop w:val="0"/>
      <w:marBottom w:val="0"/>
      <w:divBdr>
        <w:top w:val="none" w:sz="0" w:space="0" w:color="auto"/>
        <w:left w:val="none" w:sz="0" w:space="0" w:color="auto"/>
        <w:bottom w:val="none" w:sz="0" w:space="0" w:color="auto"/>
        <w:right w:val="none" w:sz="0" w:space="0" w:color="auto"/>
      </w:divBdr>
    </w:div>
    <w:div w:id="1006857791">
      <w:bodyDiv w:val="1"/>
      <w:marLeft w:val="0"/>
      <w:marRight w:val="0"/>
      <w:marTop w:val="0"/>
      <w:marBottom w:val="0"/>
      <w:divBdr>
        <w:top w:val="none" w:sz="0" w:space="0" w:color="auto"/>
        <w:left w:val="none" w:sz="0" w:space="0" w:color="auto"/>
        <w:bottom w:val="none" w:sz="0" w:space="0" w:color="auto"/>
        <w:right w:val="none" w:sz="0" w:space="0" w:color="auto"/>
      </w:divBdr>
    </w:div>
    <w:div w:id="1018972999">
      <w:bodyDiv w:val="1"/>
      <w:marLeft w:val="0"/>
      <w:marRight w:val="0"/>
      <w:marTop w:val="0"/>
      <w:marBottom w:val="0"/>
      <w:divBdr>
        <w:top w:val="none" w:sz="0" w:space="0" w:color="auto"/>
        <w:left w:val="none" w:sz="0" w:space="0" w:color="auto"/>
        <w:bottom w:val="none" w:sz="0" w:space="0" w:color="auto"/>
        <w:right w:val="none" w:sz="0" w:space="0" w:color="auto"/>
      </w:divBdr>
    </w:div>
    <w:div w:id="1023633477">
      <w:bodyDiv w:val="1"/>
      <w:marLeft w:val="0"/>
      <w:marRight w:val="0"/>
      <w:marTop w:val="0"/>
      <w:marBottom w:val="0"/>
      <w:divBdr>
        <w:top w:val="none" w:sz="0" w:space="0" w:color="auto"/>
        <w:left w:val="none" w:sz="0" w:space="0" w:color="auto"/>
        <w:bottom w:val="none" w:sz="0" w:space="0" w:color="auto"/>
        <w:right w:val="none" w:sz="0" w:space="0" w:color="auto"/>
      </w:divBdr>
    </w:div>
    <w:div w:id="1025133429">
      <w:bodyDiv w:val="1"/>
      <w:marLeft w:val="0"/>
      <w:marRight w:val="0"/>
      <w:marTop w:val="0"/>
      <w:marBottom w:val="0"/>
      <w:divBdr>
        <w:top w:val="none" w:sz="0" w:space="0" w:color="auto"/>
        <w:left w:val="none" w:sz="0" w:space="0" w:color="auto"/>
        <w:bottom w:val="none" w:sz="0" w:space="0" w:color="auto"/>
        <w:right w:val="none" w:sz="0" w:space="0" w:color="auto"/>
      </w:divBdr>
    </w:div>
    <w:div w:id="1029990895">
      <w:bodyDiv w:val="1"/>
      <w:marLeft w:val="0"/>
      <w:marRight w:val="0"/>
      <w:marTop w:val="0"/>
      <w:marBottom w:val="0"/>
      <w:divBdr>
        <w:top w:val="none" w:sz="0" w:space="0" w:color="auto"/>
        <w:left w:val="none" w:sz="0" w:space="0" w:color="auto"/>
        <w:bottom w:val="none" w:sz="0" w:space="0" w:color="auto"/>
        <w:right w:val="none" w:sz="0" w:space="0" w:color="auto"/>
      </w:divBdr>
    </w:div>
    <w:div w:id="1048382529">
      <w:bodyDiv w:val="1"/>
      <w:marLeft w:val="0"/>
      <w:marRight w:val="0"/>
      <w:marTop w:val="0"/>
      <w:marBottom w:val="0"/>
      <w:divBdr>
        <w:top w:val="none" w:sz="0" w:space="0" w:color="auto"/>
        <w:left w:val="none" w:sz="0" w:space="0" w:color="auto"/>
        <w:bottom w:val="none" w:sz="0" w:space="0" w:color="auto"/>
        <w:right w:val="none" w:sz="0" w:space="0" w:color="auto"/>
      </w:divBdr>
    </w:div>
    <w:div w:id="1050495858">
      <w:bodyDiv w:val="1"/>
      <w:marLeft w:val="0"/>
      <w:marRight w:val="0"/>
      <w:marTop w:val="0"/>
      <w:marBottom w:val="0"/>
      <w:divBdr>
        <w:top w:val="none" w:sz="0" w:space="0" w:color="auto"/>
        <w:left w:val="none" w:sz="0" w:space="0" w:color="auto"/>
        <w:bottom w:val="none" w:sz="0" w:space="0" w:color="auto"/>
        <w:right w:val="none" w:sz="0" w:space="0" w:color="auto"/>
      </w:divBdr>
    </w:div>
    <w:div w:id="1051222540">
      <w:bodyDiv w:val="1"/>
      <w:marLeft w:val="0"/>
      <w:marRight w:val="0"/>
      <w:marTop w:val="0"/>
      <w:marBottom w:val="0"/>
      <w:divBdr>
        <w:top w:val="none" w:sz="0" w:space="0" w:color="auto"/>
        <w:left w:val="none" w:sz="0" w:space="0" w:color="auto"/>
        <w:bottom w:val="none" w:sz="0" w:space="0" w:color="auto"/>
        <w:right w:val="none" w:sz="0" w:space="0" w:color="auto"/>
      </w:divBdr>
    </w:div>
    <w:div w:id="1051877628">
      <w:bodyDiv w:val="1"/>
      <w:marLeft w:val="0"/>
      <w:marRight w:val="0"/>
      <w:marTop w:val="0"/>
      <w:marBottom w:val="0"/>
      <w:divBdr>
        <w:top w:val="none" w:sz="0" w:space="0" w:color="auto"/>
        <w:left w:val="none" w:sz="0" w:space="0" w:color="auto"/>
        <w:bottom w:val="none" w:sz="0" w:space="0" w:color="auto"/>
        <w:right w:val="none" w:sz="0" w:space="0" w:color="auto"/>
      </w:divBdr>
    </w:div>
    <w:div w:id="1058749943">
      <w:bodyDiv w:val="1"/>
      <w:marLeft w:val="0"/>
      <w:marRight w:val="0"/>
      <w:marTop w:val="0"/>
      <w:marBottom w:val="0"/>
      <w:divBdr>
        <w:top w:val="none" w:sz="0" w:space="0" w:color="auto"/>
        <w:left w:val="none" w:sz="0" w:space="0" w:color="auto"/>
        <w:bottom w:val="none" w:sz="0" w:space="0" w:color="auto"/>
        <w:right w:val="none" w:sz="0" w:space="0" w:color="auto"/>
      </w:divBdr>
    </w:div>
    <w:div w:id="1064061703">
      <w:bodyDiv w:val="1"/>
      <w:marLeft w:val="0"/>
      <w:marRight w:val="0"/>
      <w:marTop w:val="0"/>
      <w:marBottom w:val="0"/>
      <w:divBdr>
        <w:top w:val="none" w:sz="0" w:space="0" w:color="auto"/>
        <w:left w:val="none" w:sz="0" w:space="0" w:color="auto"/>
        <w:bottom w:val="none" w:sz="0" w:space="0" w:color="auto"/>
        <w:right w:val="none" w:sz="0" w:space="0" w:color="auto"/>
      </w:divBdr>
    </w:div>
    <w:div w:id="1065684453">
      <w:bodyDiv w:val="1"/>
      <w:marLeft w:val="0"/>
      <w:marRight w:val="0"/>
      <w:marTop w:val="0"/>
      <w:marBottom w:val="0"/>
      <w:divBdr>
        <w:top w:val="none" w:sz="0" w:space="0" w:color="auto"/>
        <w:left w:val="none" w:sz="0" w:space="0" w:color="auto"/>
        <w:bottom w:val="none" w:sz="0" w:space="0" w:color="auto"/>
        <w:right w:val="none" w:sz="0" w:space="0" w:color="auto"/>
      </w:divBdr>
    </w:div>
    <w:div w:id="1066605099">
      <w:bodyDiv w:val="1"/>
      <w:marLeft w:val="0"/>
      <w:marRight w:val="0"/>
      <w:marTop w:val="0"/>
      <w:marBottom w:val="0"/>
      <w:divBdr>
        <w:top w:val="none" w:sz="0" w:space="0" w:color="auto"/>
        <w:left w:val="none" w:sz="0" w:space="0" w:color="auto"/>
        <w:bottom w:val="none" w:sz="0" w:space="0" w:color="auto"/>
        <w:right w:val="none" w:sz="0" w:space="0" w:color="auto"/>
      </w:divBdr>
    </w:div>
    <w:div w:id="1067918848">
      <w:bodyDiv w:val="1"/>
      <w:marLeft w:val="0"/>
      <w:marRight w:val="0"/>
      <w:marTop w:val="0"/>
      <w:marBottom w:val="0"/>
      <w:divBdr>
        <w:top w:val="none" w:sz="0" w:space="0" w:color="auto"/>
        <w:left w:val="none" w:sz="0" w:space="0" w:color="auto"/>
        <w:bottom w:val="none" w:sz="0" w:space="0" w:color="auto"/>
        <w:right w:val="none" w:sz="0" w:space="0" w:color="auto"/>
      </w:divBdr>
      <w:divsChild>
        <w:div w:id="1944721505">
          <w:marLeft w:val="0"/>
          <w:marRight w:val="0"/>
          <w:marTop w:val="0"/>
          <w:marBottom w:val="121"/>
          <w:divBdr>
            <w:top w:val="none" w:sz="0" w:space="0" w:color="auto"/>
            <w:left w:val="none" w:sz="0" w:space="0" w:color="auto"/>
            <w:bottom w:val="none" w:sz="0" w:space="0" w:color="auto"/>
            <w:right w:val="none" w:sz="0" w:space="0" w:color="auto"/>
          </w:divBdr>
        </w:div>
      </w:divsChild>
    </w:div>
    <w:div w:id="1073890998">
      <w:bodyDiv w:val="1"/>
      <w:marLeft w:val="0"/>
      <w:marRight w:val="0"/>
      <w:marTop w:val="0"/>
      <w:marBottom w:val="0"/>
      <w:divBdr>
        <w:top w:val="none" w:sz="0" w:space="0" w:color="auto"/>
        <w:left w:val="none" w:sz="0" w:space="0" w:color="auto"/>
        <w:bottom w:val="none" w:sz="0" w:space="0" w:color="auto"/>
        <w:right w:val="none" w:sz="0" w:space="0" w:color="auto"/>
      </w:divBdr>
    </w:div>
    <w:div w:id="1074165110">
      <w:bodyDiv w:val="1"/>
      <w:marLeft w:val="0"/>
      <w:marRight w:val="0"/>
      <w:marTop w:val="0"/>
      <w:marBottom w:val="0"/>
      <w:divBdr>
        <w:top w:val="none" w:sz="0" w:space="0" w:color="auto"/>
        <w:left w:val="none" w:sz="0" w:space="0" w:color="auto"/>
        <w:bottom w:val="none" w:sz="0" w:space="0" w:color="auto"/>
        <w:right w:val="none" w:sz="0" w:space="0" w:color="auto"/>
      </w:divBdr>
      <w:divsChild>
        <w:div w:id="13700188">
          <w:marLeft w:val="0"/>
          <w:marRight w:val="0"/>
          <w:marTop w:val="0"/>
          <w:marBottom w:val="0"/>
          <w:divBdr>
            <w:top w:val="none" w:sz="0" w:space="0" w:color="auto"/>
            <w:left w:val="none" w:sz="0" w:space="0" w:color="auto"/>
            <w:bottom w:val="none" w:sz="0" w:space="0" w:color="auto"/>
            <w:right w:val="none" w:sz="0" w:space="0" w:color="auto"/>
          </w:divBdr>
          <w:divsChild>
            <w:div w:id="932124490">
              <w:marLeft w:val="0"/>
              <w:marRight w:val="0"/>
              <w:marTop w:val="0"/>
              <w:marBottom w:val="0"/>
              <w:divBdr>
                <w:top w:val="none" w:sz="0" w:space="0" w:color="auto"/>
                <w:left w:val="none" w:sz="0" w:space="0" w:color="auto"/>
                <w:bottom w:val="none" w:sz="0" w:space="0" w:color="auto"/>
                <w:right w:val="none" w:sz="0" w:space="0" w:color="auto"/>
              </w:divBdr>
            </w:div>
          </w:divsChild>
        </w:div>
        <w:div w:id="1125737781">
          <w:marLeft w:val="0"/>
          <w:marRight w:val="0"/>
          <w:marTop w:val="0"/>
          <w:marBottom w:val="0"/>
          <w:divBdr>
            <w:top w:val="none" w:sz="0" w:space="0" w:color="auto"/>
            <w:left w:val="none" w:sz="0" w:space="0" w:color="auto"/>
            <w:bottom w:val="none" w:sz="0" w:space="0" w:color="auto"/>
            <w:right w:val="none" w:sz="0" w:space="0" w:color="auto"/>
          </w:divBdr>
          <w:divsChild>
            <w:div w:id="9555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1308">
      <w:bodyDiv w:val="1"/>
      <w:marLeft w:val="0"/>
      <w:marRight w:val="0"/>
      <w:marTop w:val="0"/>
      <w:marBottom w:val="0"/>
      <w:divBdr>
        <w:top w:val="none" w:sz="0" w:space="0" w:color="auto"/>
        <w:left w:val="none" w:sz="0" w:space="0" w:color="auto"/>
        <w:bottom w:val="none" w:sz="0" w:space="0" w:color="auto"/>
        <w:right w:val="none" w:sz="0" w:space="0" w:color="auto"/>
      </w:divBdr>
    </w:div>
    <w:div w:id="1081487852">
      <w:bodyDiv w:val="1"/>
      <w:marLeft w:val="0"/>
      <w:marRight w:val="0"/>
      <w:marTop w:val="0"/>
      <w:marBottom w:val="0"/>
      <w:divBdr>
        <w:top w:val="none" w:sz="0" w:space="0" w:color="auto"/>
        <w:left w:val="none" w:sz="0" w:space="0" w:color="auto"/>
        <w:bottom w:val="none" w:sz="0" w:space="0" w:color="auto"/>
        <w:right w:val="none" w:sz="0" w:space="0" w:color="auto"/>
      </w:divBdr>
    </w:div>
    <w:div w:id="1083180403">
      <w:bodyDiv w:val="1"/>
      <w:marLeft w:val="0"/>
      <w:marRight w:val="0"/>
      <w:marTop w:val="0"/>
      <w:marBottom w:val="0"/>
      <w:divBdr>
        <w:top w:val="none" w:sz="0" w:space="0" w:color="auto"/>
        <w:left w:val="none" w:sz="0" w:space="0" w:color="auto"/>
        <w:bottom w:val="none" w:sz="0" w:space="0" w:color="auto"/>
        <w:right w:val="none" w:sz="0" w:space="0" w:color="auto"/>
      </w:divBdr>
    </w:div>
    <w:div w:id="1084767855">
      <w:bodyDiv w:val="1"/>
      <w:marLeft w:val="0"/>
      <w:marRight w:val="0"/>
      <w:marTop w:val="0"/>
      <w:marBottom w:val="0"/>
      <w:divBdr>
        <w:top w:val="none" w:sz="0" w:space="0" w:color="auto"/>
        <w:left w:val="none" w:sz="0" w:space="0" w:color="auto"/>
        <w:bottom w:val="none" w:sz="0" w:space="0" w:color="auto"/>
        <w:right w:val="none" w:sz="0" w:space="0" w:color="auto"/>
      </w:divBdr>
    </w:div>
    <w:div w:id="1085415045">
      <w:bodyDiv w:val="1"/>
      <w:marLeft w:val="0"/>
      <w:marRight w:val="0"/>
      <w:marTop w:val="0"/>
      <w:marBottom w:val="0"/>
      <w:divBdr>
        <w:top w:val="none" w:sz="0" w:space="0" w:color="auto"/>
        <w:left w:val="none" w:sz="0" w:space="0" w:color="auto"/>
        <w:bottom w:val="none" w:sz="0" w:space="0" w:color="auto"/>
        <w:right w:val="none" w:sz="0" w:space="0" w:color="auto"/>
      </w:divBdr>
    </w:div>
    <w:div w:id="1092580260">
      <w:bodyDiv w:val="1"/>
      <w:marLeft w:val="0"/>
      <w:marRight w:val="0"/>
      <w:marTop w:val="0"/>
      <w:marBottom w:val="0"/>
      <w:divBdr>
        <w:top w:val="none" w:sz="0" w:space="0" w:color="auto"/>
        <w:left w:val="none" w:sz="0" w:space="0" w:color="auto"/>
        <w:bottom w:val="none" w:sz="0" w:space="0" w:color="auto"/>
        <w:right w:val="none" w:sz="0" w:space="0" w:color="auto"/>
      </w:divBdr>
    </w:div>
    <w:div w:id="1097292828">
      <w:bodyDiv w:val="1"/>
      <w:marLeft w:val="0"/>
      <w:marRight w:val="0"/>
      <w:marTop w:val="0"/>
      <w:marBottom w:val="0"/>
      <w:divBdr>
        <w:top w:val="none" w:sz="0" w:space="0" w:color="auto"/>
        <w:left w:val="none" w:sz="0" w:space="0" w:color="auto"/>
        <w:bottom w:val="none" w:sz="0" w:space="0" w:color="auto"/>
        <w:right w:val="none" w:sz="0" w:space="0" w:color="auto"/>
      </w:divBdr>
    </w:div>
    <w:div w:id="1098868746">
      <w:bodyDiv w:val="1"/>
      <w:marLeft w:val="0"/>
      <w:marRight w:val="0"/>
      <w:marTop w:val="0"/>
      <w:marBottom w:val="0"/>
      <w:divBdr>
        <w:top w:val="none" w:sz="0" w:space="0" w:color="auto"/>
        <w:left w:val="none" w:sz="0" w:space="0" w:color="auto"/>
        <w:bottom w:val="none" w:sz="0" w:space="0" w:color="auto"/>
        <w:right w:val="none" w:sz="0" w:space="0" w:color="auto"/>
      </w:divBdr>
    </w:div>
    <w:div w:id="1099448692">
      <w:bodyDiv w:val="1"/>
      <w:marLeft w:val="0"/>
      <w:marRight w:val="0"/>
      <w:marTop w:val="0"/>
      <w:marBottom w:val="0"/>
      <w:divBdr>
        <w:top w:val="none" w:sz="0" w:space="0" w:color="auto"/>
        <w:left w:val="none" w:sz="0" w:space="0" w:color="auto"/>
        <w:bottom w:val="none" w:sz="0" w:space="0" w:color="auto"/>
        <w:right w:val="none" w:sz="0" w:space="0" w:color="auto"/>
      </w:divBdr>
    </w:div>
    <w:div w:id="1100643432">
      <w:bodyDiv w:val="1"/>
      <w:marLeft w:val="0"/>
      <w:marRight w:val="0"/>
      <w:marTop w:val="0"/>
      <w:marBottom w:val="0"/>
      <w:divBdr>
        <w:top w:val="none" w:sz="0" w:space="0" w:color="auto"/>
        <w:left w:val="none" w:sz="0" w:space="0" w:color="auto"/>
        <w:bottom w:val="none" w:sz="0" w:space="0" w:color="auto"/>
        <w:right w:val="none" w:sz="0" w:space="0" w:color="auto"/>
      </w:divBdr>
    </w:div>
    <w:div w:id="1102651874">
      <w:bodyDiv w:val="1"/>
      <w:marLeft w:val="0"/>
      <w:marRight w:val="0"/>
      <w:marTop w:val="0"/>
      <w:marBottom w:val="0"/>
      <w:divBdr>
        <w:top w:val="none" w:sz="0" w:space="0" w:color="auto"/>
        <w:left w:val="none" w:sz="0" w:space="0" w:color="auto"/>
        <w:bottom w:val="none" w:sz="0" w:space="0" w:color="auto"/>
        <w:right w:val="none" w:sz="0" w:space="0" w:color="auto"/>
      </w:divBdr>
    </w:div>
    <w:div w:id="1109160916">
      <w:bodyDiv w:val="1"/>
      <w:marLeft w:val="0"/>
      <w:marRight w:val="0"/>
      <w:marTop w:val="0"/>
      <w:marBottom w:val="0"/>
      <w:divBdr>
        <w:top w:val="none" w:sz="0" w:space="0" w:color="auto"/>
        <w:left w:val="none" w:sz="0" w:space="0" w:color="auto"/>
        <w:bottom w:val="none" w:sz="0" w:space="0" w:color="auto"/>
        <w:right w:val="none" w:sz="0" w:space="0" w:color="auto"/>
      </w:divBdr>
    </w:div>
    <w:div w:id="1117022586">
      <w:bodyDiv w:val="1"/>
      <w:marLeft w:val="0"/>
      <w:marRight w:val="0"/>
      <w:marTop w:val="0"/>
      <w:marBottom w:val="0"/>
      <w:divBdr>
        <w:top w:val="none" w:sz="0" w:space="0" w:color="auto"/>
        <w:left w:val="none" w:sz="0" w:space="0" w:color="auto"/>
        <w:bottom w:val="none" w:sz="0" w:space="0" w:color="auto"/>
        <w:right w:val="none" w:sz="0" w:space="0" w:color="auto"/>
      </w:divBdr>
    </w:div>
    <w:div w:id="1117259742">
      <w:bodyDiv w:val="1"/>
      <w:marLeft w:val="0"/>
      <w:marRight w:val="0"/>
      <w:marTop w:val="0"/>
      <w:marBottom w:val="0"/>
      <w:divBdr>
        <w:top w:val="none" w:sz="0" w:space="0" w:color="auto"/>
        <w:left w:val="none" w:sz="0" w:space="0" w:color="auto"/>
        <w:bottom w:val="none" w:sz="0" w:space="0" w:color="auto"/>
        <w:right w:val="none" w:sz="0" w:space="0" w:color="auto"/>
      </w:divBdr>
    </w:div>
    <w:div w:id="1117411423">
      <w:bodyDiv w:val="1"/>
      <w:marLeft w:val="0"/>
      <w:marRight w:val="0"/>
      <w:marTop w:val="0"/>
      <w:marBottom w:val="0"/>
      <w:divBdr>
        <w:top w:val="none" w:sz="0" w:space="0" w:color="auto"/>
        <w:left w:val="none" w:sz="0" w:space="0" w:color="auto"/>
        <w:bottom w:val="none" w:sz="0" w:space="0" w:color="auto"/>
        <w:right w:val="none" w:sz="0" w:space="0" w:color="auto"/>
      </w:divBdr>
    </w:div>
    <w:div w:id="1118334641">
      <w:bodyDiv w:val="1"/>
      <w:marLeft w:val="0"/>
      <w:marRight w:val="0"/>
      <w:marTop w:val="0"/>
      <w:marBottom w:val="0"/>
      <w:divBdr>
        <w:top w:val="none" w:sz="0" w:space="0" w:color="auto"/>
        <w:left w:val="none" w:sz="0" w:space="0" w:color="auto"/>
        <w:bottom w:val="none" w:sz="0" w:space="0" w:color="auto"/>
        <w:right w:val="none" w:sz="0" w:space="0" w:color="auto"/>
      </w:divBdr>
    </w:div>
    <w:div w:id="1118644617">
      <w:bodyDiv w:val="1"/>
      <w:marLeft w:val="0"/>
      <w:marRight w:val="0"/>
      <w:marTop w:val="0"/>
      <w:marBottom w:val="0"/>
      <w:divBdr>
        <w:top w:val="none" w:sz="0" w:space="0" w:color="auto"/>
        <w:left w:val="none" w:sz="0" w:space="0" w:color="auto"/>
        <w:bottom w:val="none" w:sz="0" w:space="0" w:color="auto"/>
        <w:right w:val="none" w:sz="0" w:space="0" w:color="auto"/>
      </w:divBdr>
    </w:div>
    <w:div w:id="1122503177">
      <w:bodyDiv w:val="1"/>
      <w:marLeft w:val="0"/>
      <w:marRight w:val="0"/>
      <w:marTop w:val="0"/>
      <w:marBottom w:val="0"/>
      <w:divBdr>
        <w:top w:val="none" w:sz="0" w:space="0" w:color="auto"/>
        <w:left w:val="none" w:sz="0" w:space="0" w:color="auto"/>
        <w:bottom w:val="none" w:sz="0" w:space="0" w:color="auto"/>
        <w:right w:val="none" w:sz="0" w:space="0" w:color="auto"/>
      </w:divBdr>
    </w:div>
    <w:div w:id="1122651574">
      <w:bodyDiv w:val="1"/>
      <w:marLeft w:val="0"/>
      <w:marRight w:val="0"/>
      <w:marTop w:val="0"/>
      <w:marBottom w:val="0"/>
      <w:divBdr>
        <w:top w:val="none" w:sz="0" w:space="0" w:color="auto"/>
        <w:left w:val="none" w:sz="0" w:space="0" w:color="auto"/>
        <w:bottom w:val="none" w:sz="0" w:space="0" w:color="auto"/>
        <w:right w:val="none" w:sz="0" w:space="0" w:color="auto"/>
      </w:divBdr>
    </w:div>
    <w:div w:id="1123966259">
      <w:bodyDiv w:val="1"/>
      <w:marLeft w:val="0"/>
      <w:marRight w:val="0"/>
      <w:marTop w:val="0"/>
      <w:marBottom w:val="0"/>
      <w:divBdr>
        <w:top w:val="none" w:sz="0" w:space="0" w:color="auto"/>
        <w:left w:val="none" w:sz="0" w:space="0" w:color="auto"/>
        <w:bottom w:val="none" w:sz="0" w:space="0" w:color="auto"/>
        <w:right w:val="none" w:sz="0" w:space="0" w:color="auto"/>
      </w:divBdr>
    </w:div>
    <w:div w:id="1130781539">
      <w:bodyDiv w:val="1"/>
      <w:marLeft w:val="0"/>
      <w:marRight w:val="0"/>
      <w:marTop w:val="0"/>
      <w:marBottom w:val="0"/>
      <w:divBdr>
        <w:top w:val="none" w:sz="0" w:space="0" w:color="auto"/>
        <w:left w:val="none" w:sz="0" w:space="0" w:color="auto"/>
        <w:bottom w:val="none" w:sz="0" w:space="0" w:color="auto"/>
        <w:right w:val="none" w:sz="0" w:space="0" w:color="auto"/>
      </w:divBdr>
    </w:div>
    <w:div w:id="1137531940">
      <w:bodyDiv w:val="1"/>
      <w:marLeft w:val="0"/>
      <w:marRight w:val="0"/>
      <w:marTop w:val="0"/>
      <w:marBottom w:val="0"/>
      <w:divBdr>
        <w:top w:val="none" w:sz="0" w:space="0" w:color="auto"/>
        <w:left w:val="none" w:sz="0" w:space="0" w:color="auto"/>
        <w:bottom w:val="none" w:sz="0" w:space="0" w:color="auto"/>
        <w:right w:val="none" w:sz="0" w:space="0" w:color="auto"/>
      </w:divBdr>
    </w:div>
    <w:div w:id="1137718658">
      <w:bodyDiv w:val="1"/>
      <w:marLeft w:val="0"/>
      <w:marRight w:val="0"/>
      <w:marTop w:val="0"/>
      <w:marBottom w:val="0"/>
      <w:divBdr>
        <w:top w:val="none" w:sz="0" w:space="0" w:color="auto"/>
        <w:left w:val="none" w:sz="0" w:space="0" w:color="auto"/>
        <w:bottom w:val="none" w:sz="0" w:space="0" w:color="auto"/>
        <w:right w:val="none" w:sz="0" w:space="0" w:color="auto"/>
      </w:divBdr>
    </w:div>
    <w:div w:id="1139108526">
      <w:bodyDiv w:val="1"/>
      <w:marLeft w:val="0"/>
      <w:marRight w:val="0"/>
      <w:marTop w:val="0"/>
      <w:marBottom w:val="0"/>
      <w:divBdr>
        <w:top w:val="none" w:sz="0" w:space="0" w:color="auto"/>
        <w:left w:val="none" w:sz="0" w:space="0" w:color="auto"/>
        <w:bottom w:val="none" w:sz="0" w:space="0" w:color="auto"/>
        <w:right w:val="none" w:sz="0" w:space="0" w:color="auto"/>
      </w:divBdr>
    </w:div>
    <w:div w:id="1142695722">
      <w:bodyDiv w:val="1"/>
      <w:marLeft w:val="0"/>
      <w:marRight w:val="0"/>
      <w:marTop w:val="0"/>
      <w:marBottom w:val="0"/>
      <w:divBdr>
        <w:top w:val="none" w:sz="0" w:space="0" w:color="auto"/>
        <w:left w:val="none" w:sz="0" w:space="0" w:color="auto"/>
        <w:bottom w:val="none" w:sz="0" w:space="0" w:color="auto"/>
        <w:right w:val="none" w:sz="0" w:space="0" w:color="auto"/>
      </w:divBdr>
    </w:div>
    <w:div w:id="1147209604">
      <w:bodyDiv w:val="1"/>
      <w:marLeft w:val="0"/>
      <w:marRight w:val="0"/>
      <w:marTop w:val="0"/>
      <w:marBottom w:val="0"/>
      <w:divBdr>
        <w:top w:val="none" w:sz="0" w:space="0" w:color="auto"/>
        <w:left w:val="none" w:sz="0" w:space="0" w:color="auto"/>
        <w:bottom w:val="none" w:sz="0" w:space="0" w:color="auto"/>
        <w:right w:val="none" w:sz="0" w:space="0" w:color="auto"/>
      </w:divBdr>
    </w:div>
    <w:div w:id="1149320353">
      <w:bodyDiv w:val="1"/>
      <w:marLeft w:val="0"/>
      <w:marRight w:val="0"/>
      <w:marTop w:val="0"/>
      <w:marBottom w:val="0"/>
      <w:divBdr>
        <w:top w:val="none" w:sz="0" w:space="0" w:color="auto"/>
        <w:left w:val="none" w:sz="0" w:space="0" w:color="auto"/>
        <w:bottom w:val="none" w:sz="0" w:space="0" w:color="auto"/>
        <w:right w:val="none" w:sz="0" w:space="0" w:color="auto"/>
      </w:divBdr>
    </w:div>
    <w:div w:id="1171070131">
      <w:bodyDiv w:val="1"/>
      <w:marLeft w:val="0"/>
      <w:marRight w:val="0"/>
      <w:marTop w:val="0"/>
      <w:marBottom w:val="0"/>
      <w:divBdr>
        <w:top w:val="none" w:sz="0" w:space="0" w:color="auto"/>
        <w:left w:val="none" w:sz="0" w:space="0" w:color="auto"/>
        <w:bottom w:val="none" w:sz="0" w:space="0" w:color="auto"/>
        <w:right w:val="none" w:sz="0" w:space="0" w:color="auto"/>
      </w:divBdr>
    </w:div>
    <w:div w:id="1171800668">
      <w:bodyDiv w:val="1"/>
      <w:marLeft w:val="0"/>
      <w:marRight w:val="0"/>
      <w:marTop w:val="0"/>
      <w:marBottom w:val="0"/>
      <w:divBdr>
        <w:top w:val="none" w:sz="0" w:space="0" w:color="auto"/>
        <w:left w:val="none" w:sz="0" w:space="0" w:color="auto"/>
        <w:bottom w:val="none" w:sz="0" w:space="0" w:color="auto"/>
        <w:right w:val="none" w:sz="0" w:space="0" w:color="auto"/>
      </w:divBdr>
    </w:div>
    <w:div w:id="1173448945">
      <w:bodyDiv w:val="1"/>
      <w:marLeft w:val="0"/>
      <w:marRight w:val="0"/>
      <w:marTop w:val="0"/>
      <w:marBottom w:val="0"/>
      <w:divBdr>
        <w:top w:val="none" w:sz="0" w:space="0" w:color="auto"/>
        <w:left w:val="none" w:sz="0" w:space="0" w:color="auto"/>
        <w:bottom w:val="none" w:sz="0" w:space="0" w:color="auto"/>
        <w:right w:val="none" w:sz="0" w:space="0" w:color="auto"/>
      </w:divBdr>
    </w:div>
    <w:div w:id="1188955208">
      <w:bodyDiv w:val="1"/>
      <w:marLeft w:val="0"/>
      <w:marRight w:val="0"/>
      <w:marTop w:val="0"/>
      <w:marBottom w:val="0"/>
      <w:divBdr>
        <w:top w:val="none" w:sz="0" w:space="0" w:color="auto"/>
        <w:left w:val="none" w:sz="0" w:space="0" w:color="auto"/>
        <w:bottom w:val="none" w:sz="0" w:space="0" w:color="auto"/>
        <w:right w:val="none" w:sz="0" w:space="0" w:color="auto"/>
      </w:divBdr>
    </w:div>
    <w:div w:id="1189300133">
      <w:bodyDiv w:val="1"/>
      <w:marLeft w:val="0"/>
      <w:marRight w:val="0"/>
      <w:marTop w:val="0"/>
      <w:marBottom w:val="0"/>
      <w:divBdr>
        <w:top w:val="none" w:sz="0" w:space="0" w:color="auto"/>
        <w:left w:val="none" w:sz="0" w:space="0" w:color="auto"/>
        <w:bottom w:val="none" w:sz="0" w:space="0" w:color="auto"/>
        <w:right w:val="none" w:sz="0" w:space="0" w:color="auto"/>
      </w:divBdr>
    </w:div>
    <w:div w:id="1193882585">
      <w:bodyDiv w:val="1"/>
      <w:marLeft w:val="0"/>
      <w:marRight w:val="0"/>
      <w:marTop w:val="0"/>
      <w:marBottom w:val="0"/>
      <w:divBdr>
        <w:top w:val="none" w:sz="0" w:space="0" w:color="auto"/>
        <w:left w:val="none" w:sz="0" w:space="0" w:color="auto"/>
        <w:bottom w:val="none" w:sz="0" w:space="0" w:color="auto"/>
        <w:right w:val="none" w:sz="0" w:space="0" w:color="auto"/>
      </w:divBdr>
    </w:div>
    <w:div w:id="1203135152">
      <w:bodyDiv w:val="1"/>
      <w:marLeft w:val="0"/>
      <w:marRight w:val="0"/>
      <w:marTop w:val="0"/>
      <w:marBottom w:val="0"/>
      <w:divBdr>
        <w:top w:val="none" w:sz="0" w:space="0" w:color="auto"/>
        <w:left w:val="none" w:sz="0" w:space="0" w:color="auto"/>
        <w:bottom w:val="none" w:sz="0" w:space="0" w:color="auto"/>
        <w:right w:val="none" w:sz="0" w:space="0" w:color="auto"/>
      </w:divBdr>
    </w:div>
    <w:div w:id="1205021677">
      <w:bodyDiv w:val="1"/>
      <w:marLeft w:val="0"/>
      <w:marRight w:val="0"/>
      <w:marTop w:val="0"/>
      <w:marBottom w:val="0"/>
      <w:divBdr>
        <w:top w:val="none" w:sz="0" w:space="0" w:color="auto"/>
        <w:left w:val="none" w:sz="0" w:space="0" w:color="auto"/>
        <w:bottom w:val="none" w:sz="0" w:space="0" w:color="auto"/>
        <w:right w:val="none" w:sz="0" w:space="0" w:color="auto"/>
      </w:divBdr>
    </w:div>
    <w:div w:id="1209689193">
      <w:bodyDiv w:val="1"/>
      <w:marLeft w:val="0"/>
      <w:marRight w:val="0"/>
      <w:marTop w:val="0"/>
      <w:marBottom w:val="0"/>
      <w:divBdr>
        <w:top w:val="none" w:sz="0" w:space="0" w:color="auto"/>
        <w:left w:val="none" w:sz="0" w:space="0" w:color="auto"/>
        <w:bottom w:val="none" w:sz="0" w:space="0" w:color="auto"/>
        <w:right w:val="none" w:sz="0" w:space="0" w:color="auto"/>
      </w:divBdr>
    </w:div>
    <w:div w:id="1210843653">
      <w:bodyDiv w:val="1"/>
      <w:marLeft w:val="0"/>
      <w:marRight w:val="0"/>
      <w:marTop w:val="0"/>
      <w:marBottom w:val="0"/>
      <w:divBdr>
        <w:top w:val="none" w:sz="0" w:space="0" w:color="auto"/>
        <w:left w:val="none" w:sz="0" w:space="0" w:color="auto"/>
        <w:bottom w:val="none" w:sz="0" w:space="0" w:color="auto"/>
        <w:right w:val="none" w:sz="0" w:space="0" w:color="auto"/>
      </w:divBdr>
    </w:div>
    <w:div w:id="1224221772">
      <w:bodyDiv w:val="1"/>
      <w:marLeft w:val="0"/>
      <w:marRight w:val="0"/>
      <w:marTop w:val="0"/>
      <w:marBottom w:val="0"/>
      <w:divBdr>
        <w:top w:val="none" w:sz="0" w:space="0" w:color="auto"/>
        <w:left w:val="none" w:sz="0" w:space="0" w:color="auto"/>
        <w:bottom w:val="none" w:sz="0" w:space="0" w:color="auto"/>
        <w:right w:val="none" w:sz="0" w:space="0" w:color="auto"/>
      </w:divBdr>
    </w:div>
    <w:div w:id="1225988518">
      <w:bodyDiv w:val="1"/>
      <w:marLeft w:val="0"/>
      <w:marRight w:val="0"/>
      <w:marTop w:val="0"/>
      <w:marBottom w:val="0"/>
      <w:divBdr>
        <w:top w:val="none" w:sz="0" w:space="0" w:color="auto"/>
        <w:left w:val="none" w:sz="0" w:space="0" w:color="auto"/>
        <w:bottom w:val="none" w:sz="0" w:space="0" w:color="auto"/>
        <w:right w:val="none" w:sz="0" w:space="0" w:color="auto"/>
      </w:divBdr>
    </w:div>
    <w:div w:id="1226449004">
      <w:bodyDiv w:val="1"/>
      <w:marLeft w:val="0"/>
      <w:marRight w:val="0"/>
      <w:marTop w:val="0"/>
      <w:marBottom w:val="0"/>
      <w:divBdr>
        <w:top w:val="none" w:sz="0" w:space="0" w:color="auto"/>
        <w:left w:val="none" w:sz="0" w:space="0" w:color="auto"/>
        <w:bottom w:val="none" w:sz="0" w:space="0" w:color="auto"/>
        <w:right w:val="none" w:sz="0" w:space="0" w:color="auto"/>
      </w:divBdr>
    </w:div>
    <w:div w:id="1235047489">
      <w:bodyDiv w:val="1"/>
      <w:marLeft w:val="0"/>
      <w:marRight w:val="0"/>
      <w:marTop w:val="0"/>
      <w:marBottom w:val="0"/>
      <w:divBdr>
        <w:top w:val="none" w:sz="0" w:space="0" w:color="auto"/>
        <w:left w:val="none" w:sz="0" w:space="0" w:color="auto"/>
        <w:bottom w:val="none" w:sz="0" w:space="0" w:color="auto"/>
        <w:right w:val="none" w:sz="0" w:space="0" w:color="auto"/>
      </w:divBdr>
    </w:div>
    <w:div w:id="1235319826">
      <w:bodyDiv w:val="1"/>
      <w:marLeft w:val="0"/>
      <w:marRight w:val="0"/>
      <w:marTop w:val="0"/>
      <w:marBottom w:val="0"/>
      <w:divBdr>
        <w:top w:val="none" w:sz="0" w:space="0" w:color="auto"/>
        <w:left w:val="none" w:sz="0" w:space="0" w:color="auto"/>
        <w:bottom w:val="none" w:sz="0" w:space="0" w:color="auto"/>
        <w:right w:val="none" w:sz="0" w:space="0" w:color="auto"/>
      </w:divBdr>
    </w:div>
    <w:div w:id="1236159503">
      <w:bodyDiv w:val="1"/>
      <w:marLeft w:val="0"/>
      <w:marRight w:val="0"/>
      <w:marTop w:val="0"/>
      <w:marBottom w:val="0"/>
      <w:divBdr>
        <w:top w:val="none" w:sz="0" w:space="0" w:color="auto"/>
        <w:left w:val="none" w:sz="0" w:space="0" w:color="auto"/>
        <w:bottom w:val="none" w:sz="0" w:space="0" w:color="auto"/>
        <w:right w:val="none" w:sz="0" w:space="0" w:color="auto"/>
      </w:divBdr>
    </w:div>
    <w:div w:id="1238978574">
      <w:bodyDiv w:val="1"/>
      <w:marLeft w:val="0"/>
      <w:marRight w:val="0"/>
      <w:marTop w:val="0"/>
      <w:marBottom w:val="0"/>
      <w:divBdr>
        <w:top w:val="none" w:sz="0" w:space="0" w:color="auto"/>
        <w:left w:val="none" w:sz="0" w:space="0" w:color="auto"/>
        <w:bottom w:val="none" w:sz="0" w:space="0" w:color="auto"/>
        <w:right w:val="none" w:sz="0" w:space="0" w:color="auto"/>
      </w:divBdr>
    </w:div>
    <w:div w:id="1243107463">
      <w:bodyDiv w:val="1"/>
      <w:marLeft w:val="0"/>
      <w:marRight w:val="0"/>
      <w:marTop w:val="0"/>
      <w:marBottom w:val="0"/>
      <w:divBdr>
        <w:top w:val="none" w:sz="0" w:space="0" w:color="auto"/>
        <w:left w:val="none" w:sz="0" w:space="0" w:color="auto"/>
        <w:bottom w:val="none" w:sz="0" w:space="0" w:color="auto"/>
        <w:right w:val="none" w:sz="0" w:space="0" w:color="auto"/>
      </w:divBdr>
    </w:div>
    <w:div w:id="1244870622">
      <w:bodyDiv w:val="1"/>
      <w:marLeft w:val="0"/>
      <w:marRight w:val="0"/>
      <w:marTop w:val="0"/>
      <w:marBottom w:val="0"/>
      <w:divBdr>
        <w:top w:val="none" w:sz="0" w:space="0" w:color="auto"/>
        <w:left w:val="none" w:sz="0" w:space="0" w:color="auto"/>
        <w:bottom w:val="none" w:sz="0" w:space="0" w:color="auto"/>
        <w:right w:val="none" w:sz="0" w:space="0" w:color="auto"/>
      </w:divBdr>
    </w:div>
    <w:div w:id="1245723594">
      <w:bodyDiv w:val="1"/>
      <w:marLeft w:val="0"/>
      <w:marRight w:val="0"/>
      <w:marTop w:val="0"/>
      <w:marBottom w:val="0"/>
      <w:divBdr>
        <w:top w:val="none" w:sz="0" w:space="0" w:color="auto"/>
        <w:left w:val="none" w:sz="0" w:space="0" w:color="auto"/>
        <w:bottom w:val="none" w:sz="0" w:space="0" w:color="auto"/>
        <w:right w:val="none" w:sz="0" w:space="0" w:color="auto"/>
      </w:divBdr>
    </w:div>
    <w:div w:id="1257790584">
      <w:bodyDiv w:val="1"/>
      <w:marLeft w:val="0"/>
      <w:marRight w:val="0"/>
      <w:marTop w:val="0"/>
      <w:marBottom w:val="0"/>
      <w:divBdr>
        <w:top w:val="none" w:sz="0" w:space="0" w:color="auto"/>
        <w:left w:val="none" w:sz="0" w:space="0" w:color="auto"/>
        <w:bottom w:val="none" w:sz="0" w:space="0" w:color="auto"/>
        <w:right w:val="none" w:sz="0" w:space="0" w:color="auto"/>
      </w:divBdr>
    </w:div>
    <w:div w:id="1263146649">
      <w:bodyDiv w:val="1"/>
      <w:marLeft w:val="0"/>
      <w:marRight w:val="0"/>
      <w:marTop w:val="0"/>
      <w:marBottom w:val="0"/>
      <w:divBdr>
        <w:top w:val="none" w:sz="0" w:space="0" w:color="auto"/>
        <w:left w:val="none" w:sz="0" w:space="0" w:color="auto"/>
        <w:bottom w:val="none" w:sz="0" w:space="0" w:color="auto"/>
        <w:right w:val="none" w:sz="0" w:space="0" w:color="auto"/>
      </w:divBdr>
    </w:div>
    <w:div w:id="1264999598">
      <w:bodyDiv w:val="1"/>
      <w:marLeft w:val="0"/>
      <w:marRight w:val="0"/>
      <w:marTop w:val="0"/>
      <w:marBottom w:val="0"/>
      <w:divBdr>
        <w:top w:val="none" w:sz="0" w:space="0" w:color="auto"/>
        <w:left w:val="none" w:sz="0" w:space="0" w:color="auto"/>
        <w:bottom w:val="none" w:sz="0" w:space="0" w:color="auto"/>
        <w:right w:val="none" w:sz="0" w:space="0" w:color="auto"/>
      </w:divBdr>
    </w:div>
    <w:div w:id="1276451240">
      <w:bodyDiv w:val="1"/>
      <w:marLeft w:val="0"/>
      <w:marRight w:val="0"/>
      <w:marTop w:val="0"/>
      <w:marBottom w:val="0"/>
      <w:divBdr>
        <w:top w:val="none" w:sz="0" w:space="0" w:color="auto"/>
        <w:left w:val="none" w:sz="0" w:space="0" w:color="auto"/>
        <w:bottom w:val="none" w:sz="0" w:space="0" w:color="auto"/>
        <w:right w:val="none" w:sz="0" w:space="0" w:color="auto"/>
      </w:divBdr>
    </w:div>
    <w:div w:id="1278367466">
      <w:bodyDiv w:val="1"/>
      <w:marLeft w:val="0"/>
      <w:marRight w:val="0"/>
      <w:marTop w:val="0"/>
      <w:marBottom w:val="0"/>
      <w:divBdr>
        <w:top w:val="none" w:sz="0" w:space="0" w:color="auto"/>
        <w:left w:val="none" w:sz="0" w:space="0" w:color="auto"/>
        <w:bottom w:val="none" w:sz="0" w:space="0" w:color="auto"/>
        <w:right w:val="none" w:sz="0" w:space="0" w:color="auto"/>
      </w:divBdr>
    </w:div>
    <w:div w:id="1284851425">
      <w:bodyDiv w:val="1"/>
      <w:marLeft w:val="0"/>
      <w:marRight w:val="0"/>
      <w:marTop w:val="0"/>
      <w:marBottom w:val="0"/>
      <w:divBdr>
        <w:top w:val="none" w:sz="0" w:space="0" w:color="auto"/>
        <w:left w:val="none" w:sz="0" w:space="0" w:color="auto"/>
        <w:bottom w:val="none" w:sz="0" w:space="0" w:color="auto"/>
        <w:right w:val="none" w:sz="0" w:space="0" w:color="auto"/>
      </w:divBdr>
    </w:div>
    <w:div w:id="1288315710">
      <w:bodyDiv w:val="1"/>
      <w:marLeft w:val="0"/>
      <w:marRight w:val="0"/>
      <w:marTop w:val="0"/>
      <w:marBottom w:val="0"/>
      <w:divBdr>
        <w:top w:val="none" w:sz="0" w:space="0" w:color="auto"/>
        <w:left w:val="none" w:sz="0" w:space="0" w:color="auto"/>
        <w:bottom w:val="none" w:sz="0" w:space="0" w:color="auto"/>
        <w:right w:val="none" w:sz="0" w:space="0" w:color="auto"/>
      </w:divBdr>
    </w:div>
    <w:div w:id="1294601924">
      <w:bodyDiv w:val="1"/>
      <w:marLeft w:val="0"/>
      <w:marRight w:val="0"/>
      <w:marTop w:val="0"/>
      <w:marBottom w:val="0"/>
      <w:divBdr>
        <w:top w:val="none" w:sz="0" w:space="0" w:color="auto"/>
        <w:left w:val="none" w:sz="0" w:space="0" w:color="auto"/>
        <w:bottom w:val="none" w:sz="0" w:space="0" w:color="auto"/>
        <w:right w:val="none" w:sz="0" w:space="0" w:color="auto"/>
      </w:divBdr>
    </w:div>
    <w:div w:id="1310016991">
      <w:bodyDiv w:val="1"/>
      <w:marLeft w:val="0"/>
      <w:marRight w:val="0"/>
      <w:marTop w:val="0"/>
      <w:marBottom w:val="0"/>
      <w:divBdr>
        <w:top w:val="none" w:sz="0" w:space="0" w:color="auto"/>
        <w:left w:val="none" w:sz="0" w:space="0" w:color="auto"/>
        <w:bottom w:val="none" w:sz="0" w:space="0" w:color="auto"/>
        <w:right w:val="none" w:sz="0" w:space="0" w:color="auto"/>
      </w:divBdr>
    </w:div>
    <w:div w:id="1312564095">
      <w:bodyDiv w:val="1"/>
      <w:marLeft w:val="0"/>
      <w:marRight w:val="0"/>
      <w:marTop w:val="0"/>
      <w:marBottom w:val="0"/>
      <w:divBdr>
        <w:top w:val="none" w:sz="0" w:space="0" w:color="auto"/>
        <w:left w:val="none" w:sz="0" w:space="0" w:color="auto"/>
        <w:bottom w:val="none" w:sz="0" w:space="0" w:color="auto"/>
        <w:right w:val="none" w:sz="0" w:space="0" w:color="auto"/>
      </w:divBdr>
    </w:div>
    <w:div w:id="1315522263">
      <w:bodyDiv w:val="1"/>
      <w:marLeft w:val="0"/>
      <w:marRight w:val="0"/>
      <w:marTop w:val="0"/>
      <w:marBottom w:val="0"/>
      <w:divBdr>
        <w:top w:val="none" w:sz="0" w:space="0" w:color="auto"/>
        <w:left w:val="none" w:sz="0" w:space="0" w:color="auto"/>
        <w:bottom w:val="none" w:sz="0" w:space="0" w:color="auto"/>
        <w:right w:val="none" w:sz="0" w:space="0" w:color="auto"/>
      </w:divBdr>
    </w:div>
    <w:div w:id="1317301566">
      <w:bodyDiv w:val="1"/>
      <w:marLeft w:val="0"/>
      <w:marRight w:val="0"/>
      <w:marTop w:val="0"/>
      <w:marBottom w:val="0"/>
      <w:divBdr>
        <w:top w:val="none" w:sz="0" w:space="0" w:color="auto"/>
        <w:left w:val="none" w:sz="0" w:space="0" w:color="auto"/>
        <w:bottom w:val="none" w:sz="0" w:space="0" w:color="auto"/>
        <w:right w:val="none" w:sz="0" w:space="0" w:color="auto"/>
      </w:divBdr>
    </w:div>
    <w:div w:id="1320886347">
      <w:bodyDiv w:val="1"/>
      <w:marLeft w:val="0"/>
      <w:marRight w:val="0"/>
      <w:marTop w:val="0"/>
      <w:marBottom w:val="0"/>
      <w:divBdr>
        <w:top w:val="none" w:sz="0" w:space="0" w:color="auto"/>
        <w:left w:val="none" w:sz="0" w:space="0" w:color="auto"/>
        <w:bottom w:val="none" w:sz="0" w:space="0" w:color="auto"/>
        <w:right w:val="none" w:sz="0" w:space="0" w:color="auto"/>
      </w:divBdr>
    </w:div>
    <w:div w:id="1326738952">
      <w:bodyDiv w:val="1"/>
      <w:marLeft w:val="0"/>
      <w:marRight w:val="0"/>
      <w:marTop w:val="0"/>
      <w:marBottom w:val="0"/>
      <w:divBdr>
        <w:top w:val="none" w:sz="0" w:space="0" w:color="auto"/>
        <w:left w:val="none" w:sz="0" w:space="0" w:color="auto"/>
        <w:bottom w:val="none" w:sz="0" w:space="0" w:color="auto"/>
        <w:right w:val="none" w:sz="0" w:space="0" w:color="auto"/>
      </w:divBdr>
    </w:div>
    <w:div w:id="1327173589">
      <w:bodyDiv w:val="1"/>
      <w:marLeft w:val="0"/>
      <w:marRight w:val="0"/>
      <w:marTop w:val="0"/>
      <w:marBottom w:val="0"/>
      <w:divBdr>
        <w:top w:val="none" w:sz="0" w:space="0" w:color="auto"/>
        <w:left w:val="none" w:sz="0" w:space="0" w:color="auto"/>
        <w:bottom w:val="none" w:sz="0" w:space="0" w:color="auto"/>
        <w:right w:val="none" w:sz="0" w:space="0" w:color="auto"/>
      </w:divBdr>
    </w:div>
    <w:div w:id="1336231036">
      <w:bodyDiv w:val="1"/>
      <w:marLeft w:val="0"/>
      <w:marRight w:val="0"/>
      <w:marTop w:val="0"/>
      <w:marBottom w:val="0"/>
      <w:divBdr>
        <w:top w:val="none" w:sz="0" w:space="0" w:color="auto"/>
        <w:left w:val="none" w:sz="0" w:space="0" w:color="auto"/>
        <w:bottom w:val="none" w:sz="0" w:space="0" w:color="auto"/>
        <w:right w:val="none" w:sz="0" w:space="0" w:color="auto"/>
      </w:divBdr>
    </w:div>
    <w:div w:id="1340694165">
      <w:bodyDiv w:val="1"/>
      <w:marLeft w:val="0"/>
      <w:marRight w:val="0"/>
      <w:marTop w:val="0"/>
      <w:marBottom w:val="0"/>
      <w:divBdr>
        <w:top w:val="none" w:sz="0" w:space="0" w:color="auto"/>
        <w:left w:val="none" w:sz="0" w:space="0" w:color="auto"/>
        <w:bottom w:val="none" w:sz="0" w:space="0" w:color="auto"/>
        <w:right w:val="none" w:sz="0" w:space="0" w:color="auto"/>
      </w:divBdr>
    </w:div>
    <w:div w:id="1340699295">
      <w:bodyDiv w:val="1"/>
      <w:marLeft w:val="0"/>
      <w:marRight w:val="0"/>
      <w:marTop w:val="0"/>
      <w:marBottom w:val="0"/>
      <w:divBdr>
        <w:top w:val="none" w:sz="0" w:space="0" w:color="auto"/>
        <w:left w:val="none" w:sz="0" w:space="0" w:color="auto"/>
        <w:bottom w:val="none" w:sz="0" w:space="0" w:color="auto"/>
        <w:right w:val="none" w:sz="0" w:space="0" w:color="auto"/>
      </w:divBdr>
    </w:div>
    <w:div w:id="1342859252">
      <w:bodyDiv w:val="1"/>
      <w:marLeft w:val="0"/>
      <w:marRight w:val="0"/>
      <w:marTop w:val="0"/>
      <w:marBottom w:val="0"/>
      <w:divBdr>
        <w:top w:val="none" w:sz="0" w:space="0" w:color="auto"/>
        <w:left w:val="none" w:sz="0" w:space="0" w:color="auto"/>
        <w:bottom w:val="none" w:sz="0" w:space="0" w:color="auto"/>
        <w:right w:val="none" w:sz="0" w:space="0" w:color="auto"/>
      </w:divBdr>
    </w:div>
    <w:div w:id="1353611203">
      <w:bodyDiv w:val="1"/>
      <w:marLeft w:val="0"/>
      <w:marRight w:val="0"/>
      <w:marTop w:val="0"/>
      <w:marBottom w:val="0"/>
      <w:divBdr>
        <w:top w:val="none" w:sz="0" w:space="0" w:color="auto"/>
        <w:left w:val="none" w:sz="0" w:space="0" w:color="auto"/>
        <w:bottom w:val="none" w:sz="0" w:space="0" w:color="auto"/>
        <w:right w:val="none" w:sz="0" w:space="0" w:color="auto"/>
      </w:divBdr>
    </w:div>
    <w:div w:id="1355762032">
      <w:bodyDiv w:val="1"/>
      <w:marLeft w:val="0"/>
      <w:marRight w:val="0"/>
      <w:marTop w:val="0"/>
      <w:marBottom w:val="0"/>
      <w:divBdr>
        <w:top w:val="none" w:sz="0" w:space="0" w:color="auto"/>
        <w:left w:val="none" w:sz="0" w:space="0" w:color="auto"/>
        <w:bottom w:val="none" w:sz="0" w:space="0" w:color="auto"/>
        <w:right w:val="none" w:sz="0" w:space="0" w:color="auto"/>
      </w:divBdr>
    </w:div>
    <w:div w:id="1355840029">
      <w:bodyDiv w:val="1"/>
      <w:marLeft w:val="0"/>
      <w:marRight w:val="0"/>
      <w:marTop w:val="0"/>
      <w:marBottom w:val="0"/>
      <w:divBdr>
        <w:top w:val="none" w:sz="0" w:space="0" w:color="auto"/>
        <w:left w:val="none" w:sz="0" w:space="0" w:color="auto"/>
        <w:bottom w:val="none" w:sz="0" w:space="0" w:color="auto"/>
        <w:right w:val="none" w:sz="0" w:space="0" w:color="auto"/>
      </w:divBdr>
    </w:div>
    <w:div w:id="1359156394">
      <w:bodyDiv w:val="1"/>
      <w:marLeft w:val="0"/>
      <w:marRight w:val="0"/>
      <w:marTop w:val="0"/>
      <w:marBottom w:val="0"/>
      <w:divBdr>
        <w:top w:val="none" w:sz="0" w:space="0" w:color="auto"/>
        <w:left w:val="none" w:sz="0" w:space="0" w:color="auto"/>
        <w:bottom w:val="none" w:sz="0" w:space="0" w:color="auto"/>
        <w:right w:val="none" w:sz="0" w:space="0" w:color="auto"/>
      </w:divBdr>
    </w:div>
    <w:div w:id="1361013348">
      <w:bodyDiv w:val="1"/>
      <w:marLeft w:val="0"/>
      <w:marRight w:val="0"/>
      <w:marTop w:val="0"/>
      <w:marBottom w:val="0"/>
      <w:divBdr>
        <w:top w:val="none" w:sz="0" w:space="0" w:color="auto"/>
        <w:left w:val="none" w:sz="0" w:space="0" w:color="auto"/>
        <w:bottom w:val="none" w:sz="0" w:space="0" w:color="auto"/>
        <w:right w:val="none" w:sz="0" w:space="0" w:color="auto"/>
      </w:divBdr>
    </w:div>
    <w:div w:id="1361735420">
      <w:bodyDiv w:val="1"/>
      <w:marLeft w:val="0"/>
      <w:marRight w:val="0"/>
      <w:marTop w:val="0"/>
      <w:marBottom w:val="0"/>
      <w:divBdr>
        <w:top w:val="none" w:sz="0" w:space="0" w:color="auto"/>
        <w:left w:val="none" w:sz="0" w:space="0" w:color="auto"/>
        <w:bottom w:val="none" w:sz="0" w:space="0" w:color="auto"/>
        <w:right w:val="none" w:sz="0" w:space="0" w:color="auto"/>
      </w:divBdr>
    </w:div>
    <w:div w:id="1368026431">
      <w:bodyDiv w:val="1"/>
      <w:marLeft w:val="0"/>
      <w:marRight w:val="0"/>
      <w:marTop w:val="0"/>
      <w:marBottom w:val="0"/>
      <w:divBdr>
        <w:top w:val="none" w:sz="0" w:space="0" w:color="auto"/>
        <w:left w:val="none" w:sz="0" w:space="0" w:color="auto"/>
        <w:bottom w:val="none" w:sz="0" w:space="0" w:color="auto"/>
        <w:right w:val="none" w:sz="0" w:space="0" w:color="auto"/>
      </w:divBdr>
    </w:div>
    <w:div w:id="1368876155">
      <w:bodyDiv w:val="1"/>
      <w:marLeft w:val="0"/>
      <w:marRight w:val="0"/>
      <w:marTop w:val="0"/>
      <w:marBottom w:val="0"/>
      <w:divBdr>
        <w:top w:val="none" w:sz="0" w:space="0" w:color="auto"/>
        <w:left w:val="none" w:sz="0" w:space="0" w:color="auto"/>
        <w:bottom w:val="none" w:sz="0" w:space="0" w:color="auto"/>
        <w:right w:val="none" w:sz="0" w:space="0" w:color="auto"/>
      </w:divBdr>
    </w:div>
    <w:div w:id="1372849664">
      <w:bodyDiv w:val="1"/>
      <w:marLeft w:val="0"/>
      <w:marRight w:val="0"/>
      <w:marTop w:val="0"/>
      <w:marBottom w:val="0"/>
      <w:divBdr>
        <w:top w:val="none" w:sz="0" w:space="0" w:color="auto"/>
        <w:left w:val="none" w:sz="0" w:space="0" w:color="auto"/>
        <w:bottom w:val="none" w:sz="0" w:space="0" w:color="auto"/>
        <w:right w:val="none" w:sz="0" w:space="0" w:color="auto"/>
      </w:divBdr>
    </w:div>
    <w:div w:id="1373994256">
      <w:bodyDiv w:val="1"/>
      <w:marLeft w:val="0"/>
      <w:marRight w:val="0"/>
      <w:marTop w:val="0"/>
      <w:marBottom w:val="0"/>
      <w:divBdr>
        <w:top w:val="none" w:sz="0" w:space="0" w:color="auto"/>
        <w:left w:val="none" w:sz="0" w:space="0" w:color="auto"/>
        <w:bottom w:val="none" w:sz="0" w:space="0" w:color="auto"/>
        <w:right w:val="none" w:sz="0" w:space="0" w:color="auto"/>
      </w:divBdr>
    </w:div>
    <w:div w:id="1374889142">
      <w:bodyDiv w:val="1"/>
      <w:marLeft w:val="0"/>
      <w:marRight w:val="0"/>
      <w:marTop w:val="0"/>
      <w:marBottom w:val="0"/>
      <w:divBdr>
        <w:top w:val="none" w:sz="0" w:space="0" w:color="auto"/>
        <w:left w:val="none" w:sz="0" w:space="0" w:color="auto"/>
        <w:bottom w:val="none" w:sz="0" w:space="0" w:color="auto"/>
        <w:right w:val="none" w:sz="0" w:space="0" w:color="auto"/>
      </w:divBdr>
    </w:div>
    <w:div w:id="1376277711">
      <w:bodyDiv w:val="1"/>
      <w:marLeft w:val="0"/>
      <w:marRight w:val="0"/>
      <w:marTop w:val="0"/>
      <w:marBottom w:val="0"/>
      <w:divBdr>
        <w:top w:val="none" w:sz="0" w:space="0" w:color="auto"/>
        <w:left w:val="none" w:sz="0" w:space="0" w:color="auto"/>
        <w:bottom w:val="none" w:sz="0" w:space="0" w:color="auto"/>
        <w:right w:val="none" w:sz="0" w:space="0" w:color="auto"/>
      </w:divBdr>
    </w:div>
    <w:div w:id="1379743530">
      <w:bodyDiv w:val="1"/>
      <w:marLeft w:val="0"/>
      <w:marRight w:val="0"/>
      <w:marTop w:val="0"/>
      <w:marBottom w:val="0"/>
      <w:divBdr>
        <w:top w:val="none" w:sz="0" w:space="0" w:color="auto"/>
        <w:left w:val="none" w:sz="0" w:space="0" w:color="auto"/>
        <w:bottom w:val="none" w:sz="0" w:space="0" w:color="auto"/>
        <w:right w:val="none" w:sz="0" w:space="0" w:color="auto"/>
      </w:divBdr>
    </w:div>
    <w:div w:id="1380012537">
      <w:bodyDiv w:val="1"/>
      <w:marLeft w:val="0"/>
      <w:marRight w:val="0"/>
      <w:marTop w:val="0"/>
      <w:marBottom w:val="0"/>
      <w:divBdr>
        <w:top w:val="none" w:sz="0" w:space="0" w:color="auto"/>
        <w:left w:val="none" w:sz="0" w:space="0" w:color="auto"/>
        <w:bottom w:val="none" w:sz="0" w:space="0" w:color="auto"/>
        <w:right w:val="none" w:sz="0" w:space="0" w:color="auto"/>
      </w:divBdr>
    </w:div>
    <w:div w:id="1382167767">
      <w:bodyDiv w:val="1"/>
      <w:marLeft w:val="0"/>
      <w:marRight w:val="0"/>
      <w:marTop w:val="0"/>
      <w:marBottom w:val="0"/>
      <w:divBdr>
        <w:top w:val="none" w:sz="0" w:space="0" w:color="auto"/>
        <w:left w:val="none" w:sz="0" w:space="0" w:color="auto"/>
        <w:bottom w:val="none" w:sz="0" w:space="0" w:color="auto"/>
        <w:right w:val="none" w:sz="0" w:space="0" w:color="auto"/>
      </w:divBdr>
    </w:div>
    <w:div w:id="1387995840">
      <w:bodyDiv w:val="1"/>
      <w:marLeft w:val="0"/>
      <w:marRight w:val="0"/>
      <w:marTop w:val="0"/>
      <w:marBottom w:val="0"/>
      <w:divBdr>
        <w:top w:val="none" w:sz="0" w:space="0" w:color="auto"/>
        <w:left w:val="none" w:sz="0" w:space="0" w:color="auto"/>
        <w:bottom w:val="none" w:sz="0" w:space="0" w:color="auto"/>
        <w:right w:val="none" w:sz="0" w:space="0" w:color="auto"/>
      </w:divBdr>
    </w:div>
    <w:div w:id="1388603252">
      <w:bodyDiv w:val="1"/>
      <w:marLeft w:val="0"/>
      <w:marRight w:val="0"/>
      <w:marTop w:val="0"/>
      <w:marBottom w:val="0"/>
      <w:divBdr>
        <w:top w:val="none" w:sz="0" w:space="0" w:color="auto"/>
        <w:left w:val="none" w:sz="0" w:space="0" w:color="auto"/>
        <w:bottom w:val="none" w:sz="0" w:space="0" w:color="auto"/>
        <w:right w:val="none" w:sz="0" w:space="0" w:color="auto"/>
      </w:divBdr>
    </w:div>
    <w:div w:id="1395003319">
      <w:bodyDiv w:val="1"/>
      <w:marLeft w:val="0"/>
      <w:marRight w:val="0"/>
      <w:marTop w:val="0"/>
      <w:marBottom w:val="0"/>
      <w:divBdr>
        <w:top w:val="none" w:sz="0" w:space="0" w:color="auto"/>
        <w:left w:val="none" w:sz="0" w:space="0" w:color="auto"/>
        <w:bottom w:val="none" w:sz="0" w:space="0" w:color="auto"/>
        <w:right w:val="none" w:sz="0" w:space="0" w:color="auto"/>
      </w:divBdr>
    </w:div>
    <w:div w:id="1399353703">
      <w:bodyDiv w:val="1"/>
      <w:marLeft w:val="0"/>
      <w:marRight w:val="0"/>
      <w:marTop w:val="0"/>
      <w:marBottom w:val="0"/>
      <w:divBdr>
        <w:top w:val="none" w:sz="0" w:space="0" w:color="auto"/>
        <w:left w:val="none" w:sz="0" w:space="0" w:color="auto"/>
        <w:bottom w:val="none" w:sz="0" w:space="0" w:color="auto"/>
        <w:right w:val="none" w:sz="0" w:space="0" w:color="auto"/>
      </w:divBdr>
    </w:div>
    <w:div w:id="1405303183">
      <w:bodyDiv w:val="1"/>
      <w:marLeft w:val="0"/>
      <w:marRight w:val="0"/>
      <w:marTop w:val="0"/>
      <w:marBottom w:val="0"/>
      <w:divBdr>
        <w:top w:val="none" w:sz="0" w:space="0" w:color="auto"/>
        <w:left w:val="none" w:sz="0" w:space="0" w:color="auto"/>
        <w:bottom w:val="none" w:sz="0" w:space="0" w:color="auto"/>
        <w:right w:val="none" w:sz="0" w:space="0" w:color="auto"/>
      </w:divBdr>
    </w:div>
    <w:div w:id="1408921689">
      <w:bodyDiv w:val="1"/>
      <w:marLeft w:val="0"/>
      <w:marRight w:val="0"/>
      <w:marTop w:val="0"/>
      <w:marBottom w:val="0"/>
      <w:divBdr>
        <w:top w:val="none" w:sz="0" w:space="0" w:color="auto"/>
        <w:left w:val="none" w:sz="0" w:space="0" w:color="auto"/>
        <w:bottom w:val="none" w:sz="0" w:space="0" w:color="auto"/>
        <w:right w:val="none" w:sz="0" w:space="0" w:color="auto"/>
      </w:divBdr>
    </w:div>
    <w:div w:id="1415394491">
      <w:bodyDiv w:val="1"/>
      <w:marLeft w:val="0"/>
      <w:marRight w:val="0"/>
      <w:marTop w:val="0"/>
      <w:marBottom w:val="0"/>
      <w:divBdr>
        <w:top w:val="none" w:sz="0" w:space="0" w:color="auto"/>
        <w:left w:val="none" w:sz="0" w:space="0" w:color="auto"/>
        <w:bottom w:val="none" w:sz="0" w:space="0" w:color="auto"/>
        <w:right w:val="none" w:sz="0" w:space="0" w:color="auto"/>
      </w:divBdr>
    </w:div>
    <w:div w:id="1415516617">
      <w:bodyDiv w:val="1"/>
      <w:marLeft w:val="0"/>
      <w:marRight w:val="0"/>
      <w:marTop w:val="0"/>
      <w:marBottom w:val="0"/>
      <w:divBdr>
        <w:top w:val="none" w:sz="0" w:space="0" w:color="auto"/>
        <w:left w:val="none" w:sz="0" w:space="0" w:color="auto"/>
        <w:bottom w:val="none" w:sz="0" w:space="0" w:color="auto"/>
        <w:right w:val="none" w:sz="0" w:space="0" w:color="auto"/>
      </w:divBdr>
    </w:div>
    <w:div w:id="1415668160">
      <w:bodyDiv w:val="1"/>
      <w:marLeft w:val="0"/>
      <w:marRight w:val="0"/>
      <w:marTop w:val="0"/>
      <w:marBottom w:val="0"/>
      <w:divBdr>
        <w:top w:val="none" w:sz="0" w:space="0" w:color="auto"/>
        <w:left w:val="none" w:sz="0" w:space="0" w:color="auto"/>
        <w:bottom w:val="none" w:sz="0" w:space="0" w:color="auto"/>
        <w:right w:val="none" w:sz="0" w:space="0" w:color="auto"/>
      </w:divBdr>
    </w:div>
    <w:div w:id="1415855085">
      <w:bodyDiv w:val="1"/>
      <w:marLeft w:val="0"/>
      <w:marRight w:val="0"/>
      <w:marTop w:val="0"/>
      <w:marBottom w:val="0"/>
      <w:divBdr>
        <w:top w:val="none" w:sz="0" w:space="0" w:color="auto"/>
        <w:left w:val="none" w:sz="0" w:space="0" w:color="auto"/>
        <w:bottom w:val="none" w:sz="0" w:space="0" w:color="auto"/>
        <w:right w:val="none" w:sz="0" w:space="0" w:color="auto"/>
      </w:divBdr>
    </w:div>
    <w:div w:id="1416167454">
      <w:bodyDiv w:val="1"/>
      <w:marLeft w:val="0"/>
      <w:marRight w:val="0"/>
      <w:marTop w:val="0"/>
      <w:marBottom w:val="0"/>
      <w:divBdr>
        <w:top w:val="none" w:sz="0" w:space="0" w:color="auto"/>
        <w:left w:val="none" w:sz="0" w:space="0" w:color="auto"/>
        <w:bottom w:val="none" w:sz="0" w:space="0" w:color="auto"/>
        <w:right w:val="none" w:sz="0" w:space="0" w:color="auto"/>
      </w:divBdr>
    </w:div>
    <w:div w:id="1435055158">
      <w:bodyDiv w:val="1"/>
      <w:marLeft w:val="0"/>
      <w:marRight w:val="0"/>
      <w:marTop w:val="0"/>
      <w:marBottom w:val="0"/>
      <w:divBdr>
        <w:top w:val="none" w:sz="0" w:space="0" w:color="auto"/>
        <w:left w:val="none" w:sz="0" w:space="0" w:color="auto"/>
        <w:bottom w:val="none" w:sz="0" w:space="0" w:color="auto"/>
        <w:right w:val="none" w:sz="0" w:space="0" w:color="auto"/>
      </w:divBdr>
    </w:div>
    <w:div w:id="1441534437">
      <w:bodyDiv w:val="1"/>
      <w:marLeft w:val="0"/>
      <w:marRight w:val="0"/>
      <w:marTop w:val="0"/>
      <w:marBottom w:val="0"/>
      <w:divBdr>
        <w:top w:val="none" w:sz="0" w:space="0" w:color="auto"/>
        <w:left w:val="none" w:sz="0" w:space="0" w:color="auto"/>
        <w:bottom w:val="none" w:sz="0" w:space="0" w:color="auto"/>
        <w:right w:val="none" w:sz="0" w:space="0" w:color="auto"/>
      </w:divBdr>
    </w:div>
    <w:div w:id="1443651584">
      <w:bodyDiv w:val="1"/>
      <w:marLeft w:val="0"/>
      <w:marRight w:val="0"/>
      <w:marTop w:val="0"/>
      <w:marBottom w:val="0"/>
      <w:divBdr>
        <w:top w:val="none" w:sz="0" w:space="0" w:color="auto"/>
        <w:left w:val="none" w:sz="0" w:space="0" w:color="auto"/>
        <w:bottom w:val="none" w:sz="0" w:space="0" w:color="auto"/>
        <w:right w:val="none" w:sz="0" w:space="0" w:color="auto"/>
      </w:divBdr>
    </w:div>
    <w:div w:id="1444230051">
      <w:bodyDiv w:val="1"/>
      <w:marLeft w:val="0"/>
      <w:marRight w:val="0"/>
      <w:marTop w:val="0"/>
      <w:marBottom w:val="0"/>
      <w:divBdr>
        <w:top w:val="none" w:sz="0" w:space="0" w:color="auto"/>
        <w:left w:val="none" w:sz="0" w:space="0" w:color="auto"/>
        <w:bottom w:val="none" w:sz="0" w:space="0" w:color="auto"/>
        <w:right w:val="none" w:sz="0" w:space="0" w:color="auto"/>
      </w:divBdr>
    </w:div>
    <w:div w:id="1458644681">
      <w:bodyDiv w:val="1"/>
      <w:marLeft w:val="0"/>
      <w:marRight w:val="0"/>
      <w:marTop w:val="0"/>
      <w:marBottom w:val="0"/>
      <w:divBdr>
        <w:top w:val="none" w:sz="0" w:space="0" w:color="auto"/>
        <w:left w:val="none" w:sz="0" w:space="0" w:color="auto"/>
        <w:bottom w:val="none" w:sz="0" w:space="0" w:color="auto"/>
        <w:right w:val="none" w:sz="0" w:space="0" w:color="auto"/>
      </w:divBdr>
    </w:div>
    <w:div w:id="1466198404">
      <w:bodyDiv w:val="1"/>
      <w:marLeft w:val="0"/>
      <w:marRight w:val="0"/>
      <w:marTop w:val="0"/>
      <w:marBottom w:val="0"/>
      <w:divBdr>
        <w:top w:val="none" w:sz="0" w:space="0" w:color="auto"/>
        <w:left w:val="none" w:sz="0" w:space="0" w:color="auto"/>
        <w:bottom w:val="none" w:sz="0" w:space="0" w:color="auto"/>
        <w:right w:val="none" w:sz="0" w:space="0" w:color="auto"/>
      </w:divBdr>
    </w:div>
    <w:div w:id="1467624443">
      <w:bodyDiv w:val="1"/>
      <w:marLeft w:val="0"/>
      <w:marRight w:val="0"/>
      <w:marTop w:val="0"/>
      <w:marBottom w:val="0"/>
      <w:divBdr>
        <w:top w:val="none" w:sz="0" w:space="0" w:color="auto"/>
        <w:left w:val="none" w:sz="0" w:space="0" w:color="auto"/>
        <w:bottom w:val="none" w:sz="0" w:space="0" w:color="auto"/>
        <w:right w:val="none" w:sz="0" w:space="0" w:color="auto"/>
      </w:divBdr>
    </w:div>
    <w:div w:id="1478448687">
      <w:bodyDiv w:val="1"/>
      <w:marLeft w:val="0"/>
      <w:marRight w:val="0"/>
      <w:marTop w:val="0"/>
      <w:marBottom w:val="0"/>
      <w:divBdr>
        <w:top w:val="none" w:sz="0" w:space="0" w:color="auto"/>
        <w:left w:val="none" w:sz="0" w:space="0" w:color="auto"/>
        <w:bottom w:val="none" w:sz="0" w:space="0" w:color="auto"/>
        <w:right w:val="none" w:sz="0" w:space="0" w:color="auto"/>
      </w:divBdr>
    </w:div>
    <w:div w:id="1480726592">
      <w:bodyDiv w:val="1"/>
      <w:marLeft w:val="0"/>
      <w:marRight w:val="0"/>
      <w:marTop w:val="0"/>
      <w:marBottom w:val="0"/>
      <w:divBdr>
        <w:top w:val="none" w:sz="0" w:space="0" w:color="auto"/>
        <w:left w:val="none" w:sz="0" w:space="0" w:color="auto"/>
        <w:bottom w:val="none" w:sz="0" w:space="0" w:color="auto"/>
        <w:right w:val="none" w:sz="0" w:space="0" w:color="auto"/>
      </w:divBdr>
    </w:div>
    <w:div w:id="1483932707">
      <w:bodyDiv w:val="1"/>
      <w:marLeft w:val="0"/>
      <w:marRight w:val="0"/>
      <w:marTop w:val="0"/>
      <w:marBottom w:val="0"/>
      <w:divBdr>
        <w:top w:val="none" w:sz="0" w:space="0" w:color="auto"/>
        <w:left w:val="none" w:sz="0" w:space="0" w:color="auto"/>
        <w:bottom w:val="none" w:sz="0" w:space="0" w:color="auto"/>
        <w:right w:val="none" w:sz="0" w:space="0" w:color="auto"/>
      </w:divBdr>
    </w:div>
    <w:div w:id="1492060241">
      <w:bodyDiv w:val="1"/>
      <w:marLeft w:val="0"/>
      <w:marRight w:val="0"/>
      <w:marTop w:val="0"/>
      <w:marBottom w:val="0"/>
      <w:divBdr>
        <w:top w:val="none" w:sz="0" w:space="0" w:color="auto"/>
        <w:left w:val="none" w:sz="0" w:space="0" w:color="auto"/>
        <w:bottom w:val="none" w:sz="0" w:space="0" w:color="auto"/>
        <w:right w:val="none" w:sz="0" w:space="0" w:color="auto"/>
      </w:divBdr>
    </w:div>
    <w:div w:id="1495149883">
      <w:bodyDiv w:val="1"/>
      <w:marLeft w:val="0"/>
      <w:marRight w:val="0"/>
      <w:marTop w:val="0"/>
      <w:marBottom w:val="0"/>
      <w:divBdr>
        <w:top w:val="none" w:sz="0" w:space="0" w:color="auto"/>
        <w:left w:val="none" w:sz="0" w:space="0" w:color="auto"/>
        <w:bottom w:val="none" w:sz="0" w:space="0" w:color="auto"/>
        <w:right w:val="none" w:sz="0" w:space="0" w:color="auto"/>
      </w:divBdr>
    </w:div>
    <w:div w:id="1501002891">
      <w:bodyDiv w:val="1"/>
      <w:marLeft w:val="0"/>
      <w:marRight w:val="0"/>
      <w:marTop w:val="0"/>
      <w:marBottom w:val="0"/>
      <w:divBdr>
        <w:top w:val="none" w:sz="0" w:space="0" w:color="auto"/>
        <w:left w:val="none" w:sz="0" w:space="0" w:color="auto"/>
        <w:bottom w:val="none" w:sz="0" w:space="0" w:color="auto"/>
        <w:right w:val="none" w:sz="0" w:space="0" w:color="auto"/>
      </w:divBdr>
    </w:div>
    <w:div w:id="1503005109">
      <w:bodyDiv w:val="1"/>
      <w:marLeft w:val="0"/>
      <w:marRight w:val="0"/>
      <w:marTop w:val="0"/>
      <w:marBottom w:val="0"/>
      <w:divBdr>
        <w:top w:val="none" w:sz="0" w:space="0" w:color="auto"/>
        <w:left w:val="none" w:sz="0" w:space="0" w:color="auto"/>
        <w:bottom w:val="none" w:sz="0" w:space="0" w:color="auto"/>
        <w:right w:val="none" w:sz="0" w:space="0" w:color="auto"/>
      </w:divBdr>
    </w:div>
    <w:div w:id="1530101599">
      <w:bodyDiv w:val="1"/>
      <w:marLeft w:val="0"/>
      <w:marRight w:val="0"/>
      <w:marTop w:val="0"/>
      <w:marBottom w:val="0"/>
      <w:divBdr>
        <w:top w:val="none" w:sz="0" w:space="0" w:color="auto"/>
        <w:left w:val="none" w:sz="0" w:space="0" w:color="auto"/>
        <w:bottom w:val="none" w:sz="0" w:space="0" w:color="auto"/>
        <w:right w:val="none" w:sz="0" w:space="0" w:color="auto"/>
      </w:divBdr>
    </w:div>
    <w:div w:id="1532303437">
      <w:bodyDiv w:val="1"/>
      <w:marLeft w:val="0"/>
      <w:marRight w:val="0"/>
      <w:marTop w:val="0"/>
      <w:marBottom w:val="0"/>
      <w:divBdr>
        <w:top w:val="none" w:sz="0" w:space="0" w:color="auto"/>
        <w:left w:val="none" w:sz="0" w:space="0" w:color="auto"/>
        <w:bottom w:val="none" w:sz="0" w:space="0" w:color="auto"/>
        <w:right w:val="none" w:sz="0" w:space="0" w:color="auto"/>
      </w:divBdr>
    </w:div>
    <w:div w:id="1536889010">
      <w:bodyDiv w:val="1"/>
      <w:marLeft w:val="0"/>
      <w:marRight w:val="0"/>
      <w:marTop w:val="0"/>
      <w:marBottom w:val="0"/>
      <w:divBdr>
        <w:top w:val="none" w:sz="0" w:space="0" w:color="auto"/>
        <w:left w:val="none" w:sz="0" w:space="0" w:color="auto"/>
        <w:bottom w:val="none" w:sz="0" w:space="0" w:color="auto"/>
        <w:right w:val="none" w:sz="0" w:space="0" w:color="auto"/>
      </w:divBdr>
    </w:div>
    <w:div w:id="1540825559">
      <w:bodyDiv w:val="1"/>
      <w:marLeft w:val="0"/>
      <w:marRight w:val="0"/>
      <w:marTop w:val="0"/>
      <w:marBottom w:val="0"/>
      <w:divBdr>
        <w:top w:val="none" w:sz="0" w:space="0" w:color="auto"/>
        <w:left w:val="none" w:sz="0" w:space="0" w:color="auto"/>
        <w:bottom w:val="none" w:sz="0" w:space="0" w:color="auto"/>
        <w:right w:val="none" w:sz="0" w:space="0" w:color="auto"/>
      </w:divBdr>
    </w:div>
    <w:div w:id="1548373425">
      <w:bodyDiv w:val="1"/>
      <w:marLeft w:val="0"/>
      <w:marRight w:val="0"/>
      <w:marTop w:val="0"/>
      <w:marBottom w:val="0"/>
      <w:divBdr>
        <w:top w:val="none" w:sz="0" w:space="0" w:color="auto"/>
        <w:left w:val="none" w:sz="0" w:space="0" w:color="auto"/>
        <w:bottom w:val="none" w:sz="0" w:space="0" w:color="auto"/>
        <w:right w:val="none" w:sz="0" w:space="0" w:color="auto"/>
      </w:divBdr>
    </w:div>
    <w:div w:id="1550066988">
      <w:bodyDiv w:val="1"/>
      <w:marLeft w:val="0"/>
      <w:marRight w:val="0"/>
      <w:marTop w:val="0"/>
      <w:marBottom w:val="0"/>
      <w:divBdr>
        <w:top w:val="none" w:sz="0" w:space="0" w:color="auto"/>
        <w:left w:val="none" w:sz="0" w:space="0" w:color="auto"/>
        <w:bottom w:val="none" w:sz="0" w:space="0" w:color="auto"/>
        <w:right w:val="none" w:sz="0" w:space="0" w:color="auto"/>
      </w:divBdr>
    </w:div>
    <w:div w:id="1550454351">
      <w:bodyDiv w:val="1"/>
      <w:marLeft w:val="0"/>
      <w:marRight w:val="0"/>
      <w:marTop w:val="0"/>
      <w:marBottom w:val="0"/>
      <w:divBdr>
        <w:top w:val="none" w:sz="0" w:space="0" w:color="auto"/>
        <w:left w:val="none" w:sz="0" w:space="0" w:color="auto"/>
        <w:bottom w:val="none" w:sz="0" w:space="0" w:color="auto"/>
        <w:right w:val="none" w:sz="0" w:space="0" w:color="auto"/>
      </w:divBdr>
    </w:div>
    <w:div w:id="1551266313">
      <w:bodyDiv w:val="1"/>
      <w:marLeft w:val="0"/>
      <w:marRight w:val="0"/>
      <w:marTop w:val="0"/>
      <w:marBottom w:val="0"/>
      <w:divBdr>
        <w:top w:val="none" w:sz="0" w:space="0" w:color="auto"/>
        <w:left w:val="none" w:sz="0" w:space="0" w:color="auto"/>
        <w:bottom w:val="none" w:sz="0" w:space="0" w:color="auto"/>
        <w:right w:val="none" w:sz="0" w:space="0" w:color="auto"/>
      </w:divBdr>
    </w:div>
    <w:div w:id="1559706104">
      <w:bodyDiv w:val="1"/>
      <w:marLeft w:val="0"/>
      <w:marRight w:val="0"/>
      <w:marTop w:val="0"/>
      <w:marBottom w:val="0"/>
      <w:divBdr>
        <w:top w:val="none" w:sz="0" w:space="0" w:color="auto"/>
        <w:left w:val="none" w:sz="0" w:space="0" w:color="auto"/>
        <w:bottom w:val="none" w:sz="0" w:space="0" w:color="auto"/>
        <w:right w:val="none" w:sz="0" w:space="0" w:color="auto"/>
      </w:divBdr>
    </w:div>
    <w:div w:id="1562515727">
      <w:bodyDiv w:val="1"/>
      <w:marLeft w:val="0"/>
      <w:marRight w:val="0"/>
      <w:marTop w:val="0"/>
      <w:marBottom w:val="0"/>
      <w:divBdr>
        <w:top w:val="none" w:sz="0" w:space="0" w:color="auto"/>
        <w:left w:val="none" w:sz="0" w:space="0" w:color="auto"/>
        <w:bottom w:val="none" w:sz="0" w:space="0" w:color="auto"/>
        <w:right w:val="none" w:sz="0" w:space="0" w:color="auto"/>
      </w:divBdr>
    </w:div>
    <w:div w:id="1564175651">
      <w:bodyDiv w:val="1"/>
      <w:marLeft w:val="0"/>
      <w:marRight w:val="0"/>
      <w:marTop w:val="0"/>
      <w:marBottom w:val="0"/>
      <w:divBdr>
        <w:top w:val="none" w:sz="0" w:space="0" w:color="auto"/>
        <w:left w:val="none" w:sz="0" w:space="0" w:color="auto"/>
        <w:bottom w:val="none" w:sz="0" w:space="0" w:color="auto"/>
        <w:right w:val="none" w:sz="0" w:space="0" w:color="auto"/>
      </w:divBdr>
    </w:div>
    <w:div w:id="1576478480">
      <w:bodyDiv w:val="1"/>
      <w:marLeft w:val="0"/>
      <w:marRight w:val="0"/>
      <w:marTop w:val="0"/>
      <w:marBottom w:val="0"/>
      <w:divBdr>
        <w:top w:val="none" w:sz="0" w:space="0" w:color="auto"/>
        <w:left w:val="none" w:sz="0" w:space="0" w:color="auto"/>
        <w:bottom w:val="none" w:sz="0" w:space="0" w:color="auto"/>
        <w:right w:val="none" w:sz="0" w:space="0" w:color="auto"/>
      </w:divBdr>
    </w:div>
    <w:div w:id="1577277843">
      <w:bodyDiv w:val="1"/>
      <w:marLeft w:val="0"/>
      <w:marRight w:val="0"/>
      <w:marTop w:val="0"/>
      <w:marBottom w:val="0"/>
      <w:divBdr>
        <w:top w:val="none" w:sz="0" w:space="0" w:color="auto"/>
        <w:left w:val="none" w:sz="0" w:space="0" w:color="auto"/>
        <w:bottom w:val="none" w:sz="0" w:space="0" w:color="auto"/>
        <w:right w:val="none" w:sz="0" w:space="0" w:color="auto"/>
      </w:divBdr>
    </w:div>
    <w:div w:id="1577931351">
      <w:bodyDiv w:val="1"/>
      <w:marLeft w:val="0"/>
      <w:marRight w:val="0"/>
      <w:marTop w:val="0"/>
      <w:marBottom w:val="0"/>
      <w:divBdr>
        <w:top w:val="none" w:sz="0" w:space="0" w:color="auto"/>
        <w:left w:val="none" w:sz="0" w:space="0" w:color="auto"/>
        <w:bottom w:val="none" w:sz="0" w:space="0" w:color="auto"/>
        <w:right w:val="none" w:sz="0" w:space="0" w:color="auto"/>
      </w:divBdr>
    </w:div>
    <w:div w:id="1580629698">
      <w:bodyDiv w:val="1"/>
      <w:marLeft w:val="0"/>
      <w:marRight w:val="0"/>
      <w:marTop w:val="0"/>
      <w:marBottom w:val="0"/>
      <w:divBdr>
        <w:top w:val="none" w:sz="0" w:space="0" w:color="auto"/>
        <w:left w:val="none" w:sz="0" w:space="0" w:color="auto"/>
        <w:bottom w:val="none" w:sz="0" w:space="0" w:color="auto"/>
        <w:right w:val="none" w:sz="0" w:space="0" w:color="auto"/>
      </w:divBdr>
    </w:div>
    <w:div w:id="1581257060">
      <w:bodyDiv w:val="1"/>
      <w:marLeft w:val="0"/>
      <w:marRight w:val="0"/>
      <w:marTop w:val="0"/>
      <w:marBottom w:val="0"/>
      <w:divBdr>
        <w:top w:val="none" w:sz="0" w:space="0" w:color="auto"/>
        <w:left w:val="none" w:sz="0" w:space="0" w:color="auto"/>
        <w:bottom w:val="none" w:sz="0" w:space="0" w:color="auto"/>
        <w:right w:val="none" w:sz="0" w:space="0" w:color="auto"/>
      </w:divBdr>
    </w:div>
    <w:div w:id="1583904746">
      <w:bodyDiv w:val="1"/>
      <w:marLeft w:val="0"/>
      <w:marRight w:val="0"/>
      <w:marTop w:val="0"/>
      <w:marBottom w:val="0"/>
      <w:divBdr>
        <w:top w:val="none" w:sz="0" w:space="0" w:color="auto"/>
        <w:left w:val="none" w:sz="0" w:space="0" w:color="auto"/>
        <w:bottom w:val="none" w:sz="0" w:space="0" w:color="auto"/>
        <w:right w:val="none" w:sz="0" w:space="0" w:color="auto"/>
      </w:divBdr>
    </w:div>
    <w:div w:id="1584099399">
      <w:bodyDiv w:val="1"/>
      <w:marLeft w:val="0"/>
      <w:marRight w:val="0"/>
      <w:marTop w:val="0"/>
      <w:marBottom w:val="0"/>
      <w:divBdr>
        <w:top w:val="none" w:sz="0" w:space="0" w:color="auto"/>
        <w:left w:val="none" w:sz="0" w:space="0" w:color="auto"/>
        <w:bottom w:val="none" w:sz="0" w:space="0" w:color="auto"/>
        <w:right w:val="none" w:sz="0" w:space="0" w:color="auto"/>
      </w:divBdr>
    </w:div>
    <w:div w:id="1587182095">
      <w:bodyDiv w:val="1"/>
      <w:marLeft w:val="0"/>
      <w:marRight w:val="0"/>
      <w:marTop w:val="0"/>
      <w:marBottom w:val="0"/>
      <w:divBdr>
        <w:top w:val="none" w:sz="0" w:space="0" w:color="auto"/>
        <w:left w:val="none" w:sz="0" w:space="0" w:color="auto"/>
        <w:bottom w:val="none" w:sz="0" w:space="0" w:color="auto"/>
        <w:right w:val="none" w:sz="0" w:space="0" w:color="auto"/>
      </w:divBdr>
    </w:div>
    <w:div w:id="1591305449">
      <w:bodyDiv w:val="1"/>
      <w:marLeft w:val="0"/>
      <w:marRight w:val="0"/>
      <w:marTop w:val="0"/>
      <w:marBottom w:val="0"/>
      <w:divBdr>
        <w:top w:val="none" w:sz="0" w:space="0" w:color="auto"/>
        <w:left w:val="none" w:sz="0" w:space="0" w:color="auto"/>
        <w:bottom w:val="none" w:sz="0" w:space="0" w:color="auto"/>
        <w:right w:val="none" w:sz="0" w:space="0" w:color="auto"/>
      </w:divBdr>
    </w:div>
    <w:div w:id="1595699938">
      <w:bodyDiv w:val="1"/>
      <w:marLeft w:val="0"/>
      <w:marRight w:val="0"/>
      <w:marTop w:val="0"/>
      <w:marBottom w:val="0"/>
      <w:divBdr>
        <w:top w:val="none" w:sz="0" w:space="0" w:color="auto"/>
        <w:left w:val="none" w:sz="0" w:space="0" w:color="auto"/>
        <w:bottom w:val="none" w:sz="0" w:space="0" w:color="auto"/>
        <w:right w:val="none" w:sz="0" w:space="0" w:color="auto"/>
      </w:divBdr>
    </w:div>
    <w:div w:id="1596748831">
      <w:bodyDiv w:val="1"/>
      <w:marLeft w:val="0"/>
      <w:marRight w:val="0"/>
      <w:marTop w:val="0"/>
      <w:marBottom w:val="0"/>
      <w:divBdr>
        <w:top w:val="none" w:sz="0" w:space="0" w:color="auto"/>
        <w:left w:val="none" w:sz="0" w:space="0" w:color="auto"/>
        <w:bottom w:val="none" w:sz="0" w:space="0" w:color="auto"/>
        <w:right w:val="none" w:sz="0" w:space="0" w:color="auto"/>
      </w:divBdr>
    </w:div>
    <w:div w:id="1600872301">
      <w:bodyDiv w:val="1"/>
      <w:marLeft w:val="0"/>
      <w:marRight w:val="0"/>
      <w:marTop w:val="0"/>
      <w:marBottom w:val="0"/>
      <w:divBdr>
        <w:top w:val="none" w:sz="0" w:space="0" w:color="auto"/>
        <w:left w:val="none" w:sz="0" w:space="0" w:color="auto"/>
        <w:bottom w:val="none" w:sz="0" w:space="0" w:color="auto"/>
        <w:right w:val="none" w:sz="0" w:space="0" w:color="auto"/>
      </w:divBdr>
    </w:div>
    <w:div w:id="1605914836">
      <w:bodyDiv w:val="1"/>
      <w:marLeft w:val="0"/>
      <w:marRight w:val="0"/>
      <w:marTop w:val="0"/>
      <w:marBottom w:val="0"/>
      <w:divBdr>
        <w:top w:val="none" w:sz="0" w:space="0" w:color="auto"/>
        <w:left w:val="none" w:sz="0" w:space="0" w:color="auto"/>
        <w:bottom w:val="none" w:sz="0" w:space="0" w:color="auto"/>
        <w:right w:val="none" w:sz="0" w:space="0" w:color="auto"/>
      </w:divBdr>
    </w:div>
    <w:div w:id="1615988146">
      <w:bodyDiv w:val="1"/>
      <w:marLeft w:val="0"/>
      <w:marRight w:val="0"/>
      <w:marTop w:val="0"/>
      <w:marBottom w:val="0"/>
      <w:divBdr>
        <w:top w:val="none" w:sz="0" w:space="0" w:color="auto"/>
        <w:left w:val="none" w:sz="0" w:space="0" w:color="auto"/>
        <w:bottom w:val="none" w:sz="0" w:space="0" w:color="auto"/>
        <w:right w:val="none" w:sz="0" w:space="0" w:color="auto"/>
      </w:divBdr>
    </w:div>
    <w:div w:id="1628899503">
      <w:bodyDiv w:val="1"/>
      <w:marLeft w:val="0"/>
      <w:marRight w:val="0"/>
      <w:marTop w:val="0"/>
      <w:marBottom w:val="0"/>
      <w:divBdr>
        <w:top w:val="none" w:sz="0" w:space="0" w:color="auto"/>
        <w:left w:val="none" w:sz="0" w:space="0" w:color="auto"/>
        <w:bottom w:val="none" w:sz="0" w:space="0" w:color="auto"/>
        <w:right w:val="none" w:sz="0" w:space="0" w:color="auto"/>
      </w:divBdr>
    </w:div>
    <w:div w:id="1630941862">
      <w:bodyDiv w:val="1"/>
      <w:marLeft w:val="0"/>
      <w:marRight w:val="0"/>
      <w:marTop w:val="0"/>
      <w:marBottom w:val="0"/>
      <w:divBdr>
        <w:top w:val="none" w:sz="0" w:space="0" w:color="auto"/>
        <w:left w:val="none" w:sz="0" w:space="0" w:color="auto"/>
        <w:bottom w:val="none" w:sz="0" w:space="0" w:color="auto"/>
        <w:right w:val="none" w:sz="0" w:space="0" w:color="auto"/>
      </w:divBdr>
    </w:div>
    <w:div w:id="1637905700">
      <w:bodyDiv w:val="1"/>
      <w:marLeft w:val="0"/>
      <w:marRight w:val="0"/>
      <w:marTop w:val="0"/>
      <w:marBottom w:val="0"/>
      <w:divBdr>
        <w:top w:val="none" w:sz="0" w:space="0" w:color="auto"/>
        <w:left w:val="none" w:sz="0" w:space="0" w:color="auto"/>
        <w:bottom w:val="none" w:sz="0" w:space="0" w:color="auto"/>
        <w:right w:val="none" w:sz="0" w:space="0" w:color="auto"/>
      </w:divBdr>
    </w:div>
    <w:div w:id="1646743711">
      <w:bodyDiv w:val="1"/>
      <w:marLeft w:val="0"/>
      <w:marRight w:val="0"/>
      <w:marTop w:val="0"/>
      <w:marBottom w:val="0"/>
      <w:divBdr>
        <w:top w:val="none" w:sz="0" w:space="0" w:color="auto"/>
        <w:left w:val="none" w:sz="0" w:space="0" w:color="auto"/>
        <w:bottom w:val="none" w:sz="0" w:space="0" w:color="auto"/>
        <w:right w:val="none" w:sz="0" w:space="0" w:color="auto"/>
      </w:divBdr>
    </w:div>
    <w:div w:id="1665888333">
      <w:bodyDiv w:val="1"/>
      <w:marLeft w:val="0"/>
      <w:marRight w:val="0"/>
      <w:marTop w:val="0"/>
      <w:marBottom w:val="0"/>
      <w:divBdr>
        <w:top w:val="none" w:sz="0" w:space="0" w:color="auto"/>
        <w:left w:val="none" w:sz="0" w:space="0" w:color="auto"/>
        <w:bottom w:val="none" w:sz="0" w:space="0" w:color="auto"/>
        <w:right w:val="none" w:sz="0" w:space="0" w:color="auto"/>
      </w:divBdr>
    </w:div>
    <w:div w:id="1676151473">
      <w:bodyDiv w:val="1"/>
      <w:marLeft w:val="0"/>
      <w:marRight w:val="0"/>
      <w:marTop w:val="0"/>
      <w:marBottom w:val="0"/>
      <w:divBdr>
        <w:top w:val="none" w:sz="0" w:space="0" w:color="auto"/>
        <w:left w:val="none" w:sz="0" w:space="0" w:color="auto"/>
        <w:bottom w:val="none" w:sz="0" w:space="0" w:color="auto"/>
        <w:right w:val="none" w:sz="0" w:space="0" w:color="auto"/>
      </w:divBdr>
    </w:div>
    <w:div w:id="1700275688">
      <w:bodyDiv w:val="1"/>
      <w:marLeft w:val="0"/>
      <w:marRight w:val="0"/>
      <w:marTop w:val="0"/>
      <w:marBottom w:val="0"/>
      <w:divBdr>
        <w:top w:val="none" w:sz="0" w:space="0" w:color="auto"/>
        <w:left w:val="none" w:sz="0" w:space="0" w:color="auto"/>
        <w:bottom w:val="none" w:sz="0" w:space="0" w:color="auto"/>
        <w:right w:val="none" w:sz="0" w:space="0" w:color="auto"/>
      </w:divBdr>
    </w:div>
    <w:div w:id="1708291399">
      <w:bodyDiv w:val="1"/>
      <w:marLeft w:val="0"/>
      <w:marRight w:val="0"/>
      <w:marTop w:val="0"/>
      <w:marBottom w:val="0"/>
      <w:divBdr>
        <w:top w:val="none" w:sz="0" w:space="0" w:color="auto"/>
        <w:left w:val="none" w:sz="0" w:space="0" w:color="auto"/>
        <w:bottom w:val="none" w:sz="0" w:space="0" w:color="auto"/>
        <w:right w:val="none" w:sz="0" w:space="0" w:color="auto"/>
      </w:divBdr>
    </w:div>
    <w:div w:id="1711101687">
      <w:bodyDiv w:val="1"/>
      <w:marLeft w:val="0"/>
      <w:marRight w:val="0"/>
      <w:marTop w:val="0"/>
      <w:marBottom w:val="0"/>
      <w:divBdr>
        <w:top w:val="none" w:sz="0" w:space="0" w:color="auto"/>
        <w:left w:val="none" w:sz="0" w:space="0" w:color="auto"/>
        <w:bottom w:val="none" w:sz="0" w:space="0" w:color="auto"/>
        <w:right w:val="none" w:sz="0" w:space="0" w:color="auto"/>
      </w:divBdr>
    </w:div>
    <w:div w:id="1711951904">
      <w:bodyDiv w:val="1"/>
      <w:marLeft w:val="0"/>
      <w:marRight w:val="0"/>
      <w:marTop w:val="0"/>
      <w:marBottom w:val="0"/>
      <w:divBdr>
        <w:top w:val="none" w:sz="0" w:space="0" w:color="auto"/>
        <w:left w:val="none" w:sz="0" w:space="0" w:color="auto"/>
        <w:bottom w:val="none" w:sz="0" w:space="0" w:color="auto"/>
        <w:right w:val="none" w:sz="0" w:space="0" w:color="auto"/>
      </w:divBdr>
    </w:div>
    <w:div w:id="1726567269">
      <w:bodyDiv w:val="1"/>
      <w:marLeft w:val="0"/>
      <w:marRight w:val="0"/>
      <w:marTop w:val="0"/>
      <w:marBottom w:val="0"/>
      <w:divBdr>
        <w:top w:val="none" w:sz="0" w:space="0" w:color="auto"/>
        <w:left w:val="none" w:sz="0" w:space="0" w:color="auto"/>
        <w:bottom w:val="none" w:sz="0" w:space="0" w:color="auto"/>
        <w:right w:val="none" w:sz="0" w:space="0" w:color="auto"/>
      </w:divBdr>
    </w:div>
    <w:div w:id="1728147392">
      <w:bodyDiv w:val="1"/>
      <w:marLeft w:val="0"/>
      <w:marRight w:val="0"/>
      <w:marTop w:val="0"/>
      <w:marBottom w:val="0"/>
      <w:divBdr>
        <w:top w:val="none" w:sz="0" w:space="0" w:color="auto"/>
        <w:left w:val="none" w:sz="0" w:space="0" w:color="auto"/>
        <w:bottom w:val="none" w:sz="0" w:space="0" w:color="auto"/>
        <w:right w:val="none" w:sz="0" w:space="0" w:color="auto"/>
      </w:divBdr>
    </w:div>
    <w:div w:id="1737782485">
      <w:bodyDiv w:val="1"/>
      <w:marLeft w:val="0"/>
      <w:marRight w:val="0"/>
      <w:marTop w:val="0"/>
      <w:marBottom w:val="0"/>
      <w:divBdr>
        <w:top w:val="none" w:sz="0" w:space="0" w:color="auto"/>
        <w:left w:val="none" w:sz="0" w:space="0" w:color="auto"/>
        <w:bottom w:val="none" w:sz="0" w:space="0" w:color="auto"/>
        <w:right w:val="none" w:sz="0" w:space="0" w:color="auto"/>
      </w:divBdr>
    </w:div>
    <w:div w:id="1742940940">
      <w:bodyDiv w:val="1"/>
      <w:marLeft w:val="0"/>
      <w:marRight w:val="0"/>
      <w:marTop w:val="0"/>
      <w:marBottom w:val="0"/>
      <w:divBdr>
        <w:top w:val="none" w:sz="0" w:space="0" w:color="auto"/>
        <w:left w:val="none" w:sz="0" w:space="0" w:color="auto"/>
        <w:bottom w:val="none" w:sz="0" w:space="0" w:color="auto"/>
        <w:right w:val="none" w:sz="0" w:space="0" w:color="auto"/>
      </w:divBdr>
    </w:div>
    <w:div w:id="1745755742">
      <w:bodyDiv w:val="1"/>
      <w:marLeft w:val="0"/>
      <w:marRight w:val="0"/>
      <w:marTop w:val="0"/>
      <w:marBottom w:val="0"/>
      <w:divBdr>
        <w:top w:val="none" w:sz="0" w:space="0" w:color="auto"/>
        <w:left w:val="none" w:sz="0" w:space="0" w:color="auto"/>
        <w:bottom w:val="none" w:sz="0" w:space="0" w:color="auto"/>
        <w:right w:val="none" w:sz="0" w:space="0" w:color="auto"/>
      </w:divBdr>
    </w:div>
    <w:div w:id="1747337030">
      <w:bodyDiv w:val="1"/>
      <w:marLeft w:val="0"/>
      <w:marRight w:val="0"/>
      <w:marTop w:val="0"/>
      <w:marBottom w:val="0"/>
      <w:divBdr>
        <w:top w:val="none" w:sz="0" w:space="0" w:color="auto"/>
        <w:left w:val="none" w:sz="0" w:space="0" w:color="auto"/>
        <w:bottom w:val="none" w:sz="0" w:space="0" w:color="auto"/>
        <w:right w:val="none" w:sz="0" w:space="0" w:color="auto"/>
      </w:divBdr>
    </w:div>
    <w:div w:id="1756627919">
      <w:bodyDiv w:val="1"/>
      <w:marLeft w:val="0"/>
      <w:marRight w:val="0"/>
      <w:marTop w:val="0"/>
      <w:marBottom w:val="0"/>
      <w:divBdr>
        <w:top w:val="none" w:sz="0" w:space="0" w:color="auto"/>
        <w:left w:val="none" w:sz="0" w:space="0" w:color="auto"/>
        <w:bottom w:val="none" w:sz="0" w:space="0" w:color="auto"/>
        <w:right w:val="none" w:sz="0" w:space="0" w:color="auto"/>
      </w:divBdr>
    </w:div>
    <w:div w:id="1761639695">
      <w:bodyDiv w:val="1"/>
      <w:marLeft w:val="0"/>
      <w:marRight w:val="0"/>
      <w:marTop w:val="0"/>
      <w:marBottom w:val="0"/>
      <w:divBdr>
        <w:top w:val="none" w:sz="0" w:space="0" w:color="auto"/>
        <w:left w:val="none" w:sz="0" w:space="0" w:color="auto"/>
        <w:bottom w:val="none" w:sz="0" w:space="0" w:color="auto"/>
        <w:right w:val="none" w:sz="0" w:space="0" w:color="auto"/>
      </w:divBdr>
    </w:div>
    <w:div w:id="1763066682">
      <w:bodyDiv w:val="1"/>
      <w:marLeft w:val="0"/>
      <w:marRight w:val="0"/>
      <w:marTop w:val="0"/>
      <w:marBottom w:val="0"/>
      <w:divBdr>
        <w:top w:val="none" w:sz="0" w:space="0" w:color="auto"/>
        <w:left w:val="none" w:sz="0" w:space="0" w:color="auto"/>
        <w:bottom w:val="none" w:sz="0" w:space="0" w:color="auto"/>
        <w:right w:val="none" w:sz="0" w:space="0" w:color="auto"/>
      </w:divBdr>
    </w:div>
    <w:div w:id="1768964740">
      <w:bodyDiv w:val="1"/>
      <w:marLeft w:val="0"/>
      <w:marRight w:val="0"/>
      <w:marTop w:val="0"/>
      <w:marBottom w:val="0"/>
      <w:divBdr>
        <w:top w:val="none" w:sz="0" w:space="0" w:color="auto"/>
        <w:left w:val="none" w:sz="0" w:space="0" w:color="auto"/>
        <w:bottom w:val="none" w:sz="0" w:space="0" w:color="auto"/>
        <w:right w:val="none" w:sz="0" w:space="0" w:color="auto"/>
      </w:divBdr>
    </w:div>
    <w:div w:id="1769151929">
      <w:bodyDiv w:val="1"/>
      <w:marLeft w:val="0"/>
      <w:marRight w:val="0"/>
      <w:marTop w:val="0"/>
      <w:marBottom w:val="0"/>
      <w:divBdr>
        <w:top w:val="none" w:sz="0" w:space="0" w:color="auto"/>
        <w:left w:val="none" w:sz="0" w:space="0" w:color="auto"/>
        <w:bottom w:val="none" w:sz="0" w:space="0" w:color="auto"/>
        <w:right w:val="none" w:sz="0" w:space="0" w:color="auto"/>
      </w:divBdr>
    </w:div>
    <w:div w:id="1772892329">
      <w:bodyDiv w:val="1"/>
      <w:marLeft w:val="0"/>
      <w:marRight w:val="0"/>
      <w:marTop w:val="0"/>
      <w:marBottom w:val="0"/>
      <w:divBdr>
        <w:top w:val="none" w:sz="0" w:space="0" w:color="auto"/>
        <w:left w:val="none" w:sz="0" w:space="0" w:color="auto"/>
        <w:bottom w:val="none" w:sz="0" w:space="0" w:color="auto"/>
        <w:right w:val="none" w:sz="0" w:space="0" w:color="auto"/>
      </w:divBdr>
    </w:div>
    <w:div w:id="1776251066">
      <w:bodyDiv w:val="1"/>
      <w:marLeft w:val="0"/>
      <w:marRight w:val="0"/>
      <w:marTop w:val="0"/>
      <w:marBottom w:val="0"/>
      <w:divBdr>
        <w:top w:val="none" w:sz="0" w:space="0" w:color="auto"/>
        <w:left w:val="none" w:sz="0" w:space="0" w:color="auto"/>
        <w:bottom w:val="none" w:sz="0" w:space="0" w:color="auto"/>
        <w:right w:val="none" w:sz="0" w:space="0" w:color="auto"/>
      </w:divBdr>
    </w:div>
    <w:div w:id="1792552284">
      <w:bodyDiv w:val="1"/>
      <w:marLeft w:val="0"/>
      <w:marRight w:val="0"/>
      <w:marTop w:val="0"/>
      <w:marBottom w:val="0"/>
      <w:divBdr>
        <w:top w:val="none" w:sz="0" w:space="0" w:color="auto"/>
        <w:left w:val="none" w:sz="0" w:space="0" w:color="auto"/>
        <w:bottom w:val="none" w:sz="0" w:space="0" w:color="auto"/>
        <w:right w:val="none" w:sz="0" w:space="0" w:color="auto"/>
      </w:divBdr>
    </w:div>
    <w:div w:id="1794206881">
      <w:bodyDiv w:val="1"/>
      <w:marLeft w:val="0"/>
      <w:marRight w:val="0"/>
      <w:marTop w:val="0"/>
      <w:marBottom w:val="0"/>
      <w:divBdr>
        <w:top w:val="none" w:sz="0" w:space="0" w:color="auto"/>
        <w:left w:val="none" w:sz="0" w:space="0" w:color="auto"/>
        <w:bottom w:val="none" w:sz="0" w:space="0" w:color="auto"/>
        <w:right w:val="none" w:sz="0" w:space="0" w:color="auto"/>
      </w:divBdr>
    </w:div>
    <w:div w:id="1795370221">
      <w:bodyDiv w:val="1"/>
      <w:marLeft w:val="0"/>
      <w:marRight w:val="0"/>
      <w:marTop w:val="0"/>
      <w:marBottom w:val="0"/>
      <w:divBdr>
        <w:top w:val="none" w:sz="0" w:space="0" w:color="auto"/>
        <w:left w:val="none" w:sz="0" w:space="0" w:color="auto"/>
        <w:bottom w:val="none" w:sz="0" w:space="0" w:color="auto"/>
        <w:right w:val="none" w:sz="0" w:space="0" w:color="auto"/>
      </w:divBdr>
    </w:div>
    <w:div w:id="1797287227">
      <w:bodyDiv w:val="1"/>
      <w:marLeft w:val="0"/>
      <w:marRight w:val="0"/>
      <w:marTop w:val="0"/>
      <w:marBottom w:val="0"/>
      <w:divBdr>
        <w:top w:val="none" w:sz="0" w:space="0" w:color="auto"/>
        <w:left w:val="none" w:sz="0" w:space="0" w:color="auto"/>
        <w:bottom w:val="none" w:sz="0" w:space="0" w:color="auto"/>
        <w:right w:val="none" w:sz="0" w:space="0" w:color="auto"/>
      </w:divBdr>
    </w:div>
    <w:div w:id="1806042060">
      <w:bodyDiv w:val="1"/>
      <w:marLeft w:val="0"/>
      <w:marRight w:val="0"/>
      <w:marTop w:val="0"/>
      <w:marBottom w:val="0"/>
      <w:divBdr>
        <w:top w:val="none" w:sz="0" w:space="0" w:color="auto"/>
        <w:left w:val="none" w:sz="0" w:space="0" w:color="auto"/>
        <w:bottom w:val="none" w:sz="0" w:space="0" w:color="auto"/>
        <w:right w:val="none" w:sz="0" w:space="0" w:color="auto"/>
      </w:divBdr>
    </w:div>
    <w:div w:id="1809856824">
      <w:bodyDiv w:val="1"/>
      <w:marLeft w:val="0"/>
      <w:marRight w:val="0"/>
      <w:marTop w:val="0"/>
      <w:marBottom w:val="0"/>
      <w:divBdr>
        <w:top w:val="none" w:sz="0" w:space="0" w:color="auto"/>
        <w:left w:val="none" w:sz="0" w:space="0" w:color="auto"/>
        <w:bottom w:val="none" w:sz="0" w:space="0" w:color="auto"/>
        <w:right w:val="none" w:sz="0" w:space="0" w:color="auto"/>
      </w:divBdr>
    </w:div>
    <w:div w:id="1815021667">
      <w:bodyDiv w:val="1"/>
      <w:marLeft w:val="0"/>
      <w:marRight w:val="0"/>
      <w:marTop w:val="0"/>
      <w:marBottom w:val="0"/>
      <w:divBdr>
        <w:top w:val="none" w:sz="0" w:space="0" w:color="auto"/>
        <w:left w:val="none" w:sz="0" w:space="0" w:color="auto"/>
        <w:bottom w:val="none" w:sz="0" w:space="0" w:color="auto"/>
        <w:right w:val="none" w:sz="0" w:space="0" w:color="auto"/>
      </w:divBdr>
    </w:div>
    <w:div w:id="1815171385">
      <w:bodyDiv w:val="1"/>
      <w:marLeft w:val="0"/>
      <w:marRight w:val="0"/>
      <w:marTop w:val="0"/>
      <w:marBottom w:val="0"/>
      <w:divBdr>
        <w:top w:val="none" w:sz="0" w:space="0" w:color="auto"/>
        <w:left w:val="none" w:sz="0" w:space="0" w:color="auto"/>
        <w:bottom w:val="none" w:sz="0" w:space="0" w:color="auto"/>
        <w:right w:val="none" w:sz="0" w:space="0" w:color="auto"/>
      </w:divBdr>
    </w:div>
    <w:div w:id="1819881901">
      <w:bodyDiv w:val="1"/>
      <w:marLeft w:val="0"/>
      <w:marRight w:val="0"/>
      <w:marTop w:val="0"/>
      <w:marBottom w:val="0"/>
      <w:divBdr>
        <w:top w:val="none" w:sz="0" w:space="0" w:color="auto"/>
        <w:left w:val="none" w:sz="0" w:space="0" w:color="auto"/>
        <w:bottom w:val="none" w:sz="0" w:space="0" w:color="auto"/>
        <w:right w:val="none" w:sz="0" w:space="0" w:color="auto"/>
      </w:divBdr>
    </w:div>
    <w:div w:id="1820225263">
      <w:bodyDiv w:val="1"/>
      <w:marLeft w:val="0"/>
      <w:marRight w:val="0"/>
      <w:marTop w:val="0"/>
      <w:marBottom w:val="0"/>
      <w:divBdr>
        <w:top w:val="none" w:sz="0" w:space="0" w:color="auto"/>
        <w:left w:val="none" w:sz="0" w:space="0" w:color="auto"/>
        <w:bottom w:val="none" w:sz="0" w:space="0" w:color="auto"/>
        <w:right w:val="none" w:sz="0" w:space="0" w:color="auto"/>
      </w:divBdr>
    </w:div>
    <w:div w:id="1823305895">
      <w:bodyDiv w:val="1"/>
      <w:marLeft w:val="0"/>
      <w:marRight w:val="0"/>
      <w:marTop w:val="0"/>
      <w:marBottom w:val="0"/>
      <w:divBdr>
        <w:top w:val="none" w:sz="0" w:space="0" w:color="auto"/>
        <w:left w:val="none" w:sz="0" w:space="0" w:color="auto"/>
        <w:bottom w:val="none" w:sz="0" w:space="0" w:color="auto"/>
        <w:right w:val="none" w:sz="0" w:space="0" w:color="auto"/>
      </w:divBdr>
    </w:div>
    <w:div w:id="1825659807">
      <w:bodyDiv w:val="1"/>
      <w:marLeft w:val="0"/>
      <w:marRight w:val="0"/>
      <w:marTop w:val="0"/>
      <w:marBottom w:val="0"/>
      <w:divBdr>
        <w:top w:val="none" w:sz="0" w:space="0" w:color="auto"/>
        <w:left w:val="none" w:sz="0" w:space="0" w:color="auto"/>
        <w:bottom w:val="none" w:sz="0" w:space="0" w:color="auto"/>
        <w:right w:val="none" w:sz="0" w:space="0" w:color="auto"/>
      </w:divBdr>
    </w:div>
    <w:div w:id="1826315750">
      <w:bodyDiv w:val="1"/>
      <w:marLeft w:val="0"/>
      <w:marRight w:val="0"/>
      <w:marTop w:val="0"/>
      <w:marBottom w:val="0"/>
      <w:divBdr>
        <w:top w:val="none" w:sz="0" w:space="0" w:color="auto"/>
        <w:left w:val="none" w:sz="0" w:space="0" w:color="auto"/>
        <w:bottom w:val="none" w:sz="0" w:space="0" w:color="auto"/>
        <w:right w:val="none" w:sz="0" w:space="0" w:color="auto"/>
      </w:divBdr>
    </w:div>
    <w:div w:id="1826968335">
      <w:bodyDiv w:val="1"/>
      <w:marLeft w:val="0"/>
      <w:marRight w:val="0"/>
      <w:marTop w:val="0"/>
      <w:marBottom w:val="0"/>
      <w:divBdr>
        <w:top w:val="none" w:sz="0" w:space="0" w:color="auto"/>
        <w:left w:val="none" w:sz="0" w:space="0" w:color="auto"/>
        <w:bottom w:val="none" w:sz="0" w:space="0" w:color="auto"/>
        <w:right w:val="none" w:sz="0" w:space="0" w:color="auto"/>
      </w:divBdr>
    </w:div>
    <w:div w:id="1827672182">
      <w:bodyDiv w:val="1"/>
      <w:marLeft w:val="0"/>
      <w:marRight w:val="0"/>
      <w:marTop w:val="0"/>
      <w:marBottom w:val="0"/>
      <w:divBdr>
        <w:top w:val="none" w:sz="0" w:space="0" w:color="auto"/>
        <w:left w:val="none" w:sz="0" w:space="0" w:color="auto"/>
        <w:bottom w:val="none" w:sz="0" w:space="0" w:color="auto"/>
        <w:right w:val="none" w:sz="0" w:space="0" w:color="auto"/>
      </w:divBdr>
    </w:div>
    <w:div w:id="1839272677">
      <w:bodyDiv w:val="1"/>
      <w:marLeft w:val="0"/>
      <w:marRight w:val="0"/>
      <w:marTop w:val="0"/>
      <w:marBottom w:val="0"/>
      <w:divBdr>
        <w:top w:val="none" w:sz="0" w:space="0" w:color="auto"/>
        <w:left w:val="none" w:sz="0" w:space="0" w:color="auto"/>
        <w:bottom w:val="none" w:sz="0" w:space="0" w:color="auto"/>
        <w:right w:val="none" w:sz="0" w:space="0" w:color="auto"/>
      </w:divBdr>
    </w:div>
    <w:div w:id="1839691153">
      <w:bodyDiv w:val="1"/>
      <w:marLeft w:val="0"/>
      <w:marRight w:val="0"/>
      <w:marTop w:val="0"/>
      <w:marBottom w:val="0"/>
      <w:divBdr>
        <w:top w:val="none" w:sz="0" w:space="0" w:color="auto"/>
        <w:left w:val="none" w:sz="0" w:space="0" w:color="auto"/>
        <w:bottom w:val="none" w:sz="0" w:space="0" w:color="auto"/>
        <w:right w:val="none" w:sz="0" w:space="0" w:color="auto"/>
      </w:divBdr>
    </w:div>
    <w:div w:id="1841919233">
      <w:bodyDiv w:val="1"/>
      <w:marLeft w:val="0"/>
      <w:marRight w:val="0"/>
      <w:marTop w:val="0"/>
      <w:marBottom w:val="0"/>
      <w:divBdr>
        <w:top w:val="none" w:sz="0" w:space="0" w:color="auto"/>
        <w:left w:val="none" w:sz="0" w:space="0" w:color="auto"/>
        <w:bottom w:val="none" w:sz="0" w:space="0" w:color="auto"/>
        <w:right w:val="none" w:sz="0" w:space="0" w:color="auto"/>
      </w:divBdr>
    </w:div>
    <w:div w:id="1842313647">
      <w:bodyDiv w:val="1"/>
      <w:marLeft w:val="0"/>
      <w:marRight w:val="0"/>
      <w:marTop w:val="0"/>
      <w:marBottom w:val="0"/>
      <w:divBdr>
        <w:top w:val="none" w:sz="0" w:space="0" w:color="auto"/>
        <w:left w:val="none" w:sz="0" w:space="0" w:color="auto"/>
        <w:bottom w:val="none" w:sz="0" w:space="0" w:color="auto"/>
        <w:right w:val="none" w:sz="0" w:space="0" w:color="auto"/>
      </w:divBdr>
    </w:div>
    <w:div w:id="1849438986">
      <w:bodyDiv w:val="1"/>
      <w:marLeft w:val="0"/>
      <w:marRight w:val="0"/>
      <w:marTop w:val="0"/>
      <w:marBottom w:val="0"/>
      <w:divBdr>
        <w:top w:val="none" w:sz="0" w:space="0" w:color="auto"/>
        <w:left w:val="none" w:sz="0" w:space="0" w:color="auto"/>
        <w:bottom w:val="none" w:sz="0" w:space="0" w:color="auto"/>
        <w:right w:val="none" w:sz="0" w:space="0" w:color="auto"/>
      </w:divBdr>
    </w:div>
    <w:div w:id="1854954855">
      <w:bodyDiv w:val="1"/>
      <w:marLeft w:val="0"/>
      <w:marRight w:val="0"/>
      <w:marTop w:val="0"/>
      <w:marBottom w:val="0"/>
      <w:divBdr>
        <w:top w:val="none" w:sz="0" w:space="0" w:color="auto"/>
        <w:left w:val="none" w:sz="0" w:space="0" w:color="auto"/>
        <w:bottom w:val="none" w:sz="0" w:space="0" w:color="auto"/>
        <w:right w:val="none" w:sz="0" w:space="0" w:color="auto"/>
      </w:divBdr>
      <w:divsChild>
        <w:div w:id="288754141">
          <w:marLeft w:val="0"/>
          <w:marRight w:val="0"/>
          <w:marTop w:val="0"/>
          <w:marBottom w:val="0"/>
          <w:divBdr>
            <w:top w:val="none" w:sz="0" w:space="0" w:color="auto"/>
            <w:left w:val="none" w:sz="0" w:space="0" w:color="auto"/>
            <w:bottom w:val="none" w:sz="0" w:space="0" w:color="auto"/>
            <w:right w:val="none" w:sz="0" w:space="0" w:color="auto"/>
          </w:divBdr>
        </w:div>
        <w:div w:id="1062142419">
          <w:marLeft w:val="0"/>
          <w:marRight w:val="0"/>
          <w:marTop w:val="0"/>
          <w:marBottom w:val="0"/>
          <w:divBdr>
            <w:top w:val="none" w:sz="0" w:space="0" w:color="auto"/>
            <w:left w:val="none" w:sz="0" w:space="0" w:color="auto"/>
            <w:bottom w:val="none" w:sz="0" w:space="0" w:color="auto"/>
            <w:right w:val="none" w:sz="0" w:space="0" w:color="auto"/>
          </w:divBdr>
        </w:div>
      </w:divsChild>
    </w:div>
    <w:div w:id="1857307395">
      <w:bodyDiv w:val="1"/>
      <w:marLeft w:val="0"/>
      <w:marRight w:val="0"/>
      <w:marTop w:val="0"/>
      <w:marBottom w:val="0"/>
      <w:divBdr>
        <w:top w:val="none" w:sz="0" w:space="0" w:color="auto"/>
        <w:left w:val="none" w:sz="0" w:space="0" w:color="auto"/>
        <w:bottom w:val="none" w:sz="0" w:space="0" w:color="auto"/>
        <w:right w:val="none" w:sz="0" w:space="0" w:color="auto"/>
      </w:divBdr>
    </w:div>
    <w:div w:id="1858426910">
      <w:bodyDiv w:val="1"/>
      <w:marLeft w:val="0"/>
      <w:marRight w:val="0"/>
      <w:marTop w:val="0"/>
      <w:marBottom w:val="0"/>
      <w:divBdr>
        <w:top w:val="none" w:sz="0" w:space="0" w:color="auto"/>
        <w:left w:val="none" w:sz="0" w:space="0" w:color="auto"/>
        <w:bottom w:val="none" w:sz="0" w:space="0" w:color="auto"/>
        <w:right w:val="none" w:sz="0" w:space="0" w:color="auto"/>
      </w:divBdr>
    </w:div>
    <w:div w:id="1860657619">
      <w:bodyDiv w:val="1"/>
      <w:marLeft w:val="0"/>
      <w:marRight w:val="0"/>
      <w:marTop w:val="0"/>
      <w:marBottom w:val="0"/>
      <w:divBdr>
        <w:top w:val="none" w:sz="0" w:space="0" w:color="auto"/>
        <w:left w:val="none" w:sz="0" w:space="0" w:color="auto"/>
        <w:bottom w:val="none" w:sz="0" w:space="0" w:color="auto"/>
        <w:right w:val="none" w:sz="0" w:space="0" w:color="auto"/>
      </w:divBdr>
    </w:div>
    <w:div w:id="1863592596">
      <w:bodyDiv w:val="1"/>
      <w:marLeft w:val="0"/>
      <w:marRight w:val="0"/>
      <w:marTop w:val="0"/>
      <w:marBottom w:val="0"/>
      <w:divBdr>
        <w:top w:val="none" w:sz="0" w:space="0" w:color="auto"/>
        <w:left w:val="none" w:sz="0" w:space="0" w:color="auto"/>
        <w:bottom w:val="none" w:sz="0" w:space="0" w:color="auto"/>
        <w:right w:val="none" w:sz="0" w:space="0" w:color="auto"/>
      </w:divBdr>
    </w:div>
    <w:div w:id="1865972672">
      <w:bodyDiv w:val="1"/>
      <w:marLeft w:val="0"/>
      <w:marRight w:val="0"/>
      <w:marTop w:val="0"/>
      <w:marBottom w:val="0"/>
      <w:divBdr>
        <w:top w:val="none" w:sz="0" w:space="0" w:color="auto"/>
        <w:left w:val="none" w:sz="0" w:space="0" w:color="auto"/>
        <w:bottom w:val="none" w:sz="0" w:space="0" w:color="auto"/>
        <w:right w:val="none" w:sz="0" w:space="0" w:color="auto"/>
      </w:divBdr>
    </w:div>
    <w:div w:id="1874686619">
      <w:bodyDiv w:val="1"/>
      <w:marLeft w:val="0"/>
      <w:marRight w:val="0"/>
      <w:marTop w:val="0"/>
      <w:marBottom w:val="0"/>
      <w:divBdr>
        <w:top w:val="none" w:sz="0" w:space="0" w:color="auto"/>
        <w:left w:val="none" w:sz="0" w:space="0" w:color="auto"/>
        <w:bottom w:val="none" w:sz="0" w:space="0" w:color="auto"/>
        <w:right w:val="none" w:sz="0" w:space="0" w:color="auto"/>
      </w:divBdr>
    </w:div>
    <w:div w:id="1875267225">
      <w:bodyDiv w:val="1"/>
      <w:marLeft w:val="0"/>
      <w:marRight w:val="0"/>
      <w:marTop w:val="0"/>
      <w:marBottom w:val="0"/>
      <w:divBdr>
        <w:top w:val="none" w:sz="0" w:space="0" w:color="auto"/>
        <w:left w:val="none" w:sz="0" w:space="0" w:color="auto"/>
        <w:bottom w:val="none" w:sz="0" w:space="0" w:color="auto"/>
        <w:right w:val="none" w:sz="0" w:space="0" w:color="auto"/>
      </w:divBdr>
    </w:div>
    <w:div w:id="1878004952">
      <w:bodyDiv w:val="1"/>
      <w:marLeft w:val="0"/>
      <w:marRight w:val="0"/>
      <w:marTop w:val="0"/>
      <w:marBottom w:val="0"/>
      <w:divBdr>
        <w:top w:val="none" w:sz="0" w:space="0" w:color="auto"/>
        <w:left w:val="none" w:sz="0" w:space="0" w:color="auto"/>
        <w:bottom w:val="none" w:sz="0" w:space="0" w:color="auto"/>
        <w:right w:val="none" w:sz="0" w:space="0" w:color="auto"/>
      </w:divBdr>
    </w:div>
    <w:div w:id="1878471618">
      <w:bodyDiv w:val="1"/>
      <w:marLeft w:val="0"/>
      <w:marRight w:val="0"/>
      <w:marTop w:val="0"/>
      <w:marBottom w:val="0"/>
      <w:divBdr>
        <w:top w:val="none" w:sz="0" w:space="0" w:color="auto"/>
        <w:left w:val="none" w:sz="0" w:space="0" w:color="auto"/>
        <w:bottom w:val="none" w:sz="0" w:space="0" w:color="auto"/>
        <w:right w:val="none" w:sz="0" w:space="0" w:color="auto"/>
      </w:divBdr>
    </w:div>
    <w:div w:id="1879319296">
      <w:bodyDiv w:val="1"/>
      <w:marLeft w:val="0"/>
      <w:marRight w:val="0"/>
      <w:marTop w:val="0"/>
      <w:marBottom w:val="0"/>
      <w:divBdr>
        <w:top w:val="none" w:sz="0" w:space="0" w:color="auto"/>
        <w:left w:val="none" w:sz="0" w:space="0" w:color="auto"/>
        <w:bottom w:val="none" w:sz="0" w:space="0" w:color="auto"/>
        <w:right w:val="none" w:sz="0" w:space="0" w:color="auto"/>
      </w:divBdr>
    </w:div>
    <w:div w:id="1880504924">
      <w:bodyDiv w:val="1"/>
      <w:marLeft w:val="0"/>
      <w:marRight w:val="0"/>
      <w:marTop w:val="0"/>
      <w:marBottom w:val="0"/>
      <w:divBdr>
        <w:top w:val="none" w:sz="0" w:space="0" w:color="auto"/>
        <w:left w:val="none" w:sz="0" w:space="0" w:color="auto"/>
        <w:bottom w:val="none" w:sz="0" w:space="0" w:color="auto"/>
        <w:right w:val="none" w:sz="0" w:space="0" w:color="auto"/>
      </w:divBdr>
    </w:div>
    <w:div w:id="1883518869">
      <w:bodyDiv w:val="1"/>
      <w:marLeft w:val="0"/>
      <w:marRight w:val="0"/>
      <w:marTop w:val="0"/>
      <w:marBottom w:val="0"/>
      <w:divBdr>
        <w:top w:val="none" w:sz="0" w:space="0" w:color="auto"/>
        <w:left w:val="none" w:sz="0" w:space="0" w:color="auto"/>
        <w:bottom w:val="none" w:sz="0" w:space="0" w:color="auto"/>
        <w:right w:val="none" w:sz="0" w:space="0" w:color="auto"/>
      </w:divBdr>
    </w:div>
    <w:div w:id="1885676584">
      <w:bodyDiv w:val="1"/>
      <w:marLeft w:val="0"/>
      <w:marRight w:val="0"/>
      <w:marTop w:val="0"/>
      <w:marBottom w:val="0"/>
      <w:divBdr>
        <w:top w:val="none" w:sz="0" w:space="0" w:color="auto"/>
        <w:left w:val="none" w:sz="0" w:space="0" w:color="auto"/>
        <w:bottom w:val="none" w:sz="0" w:space="0" w:color="auto"/>
        <w:right w:val="none" w:sz="0" w:space="0" w:color="auto"/>
      </w:divBdr>
    </w:div>
    <w:div w:id="1890989154">
      <w:bodyDiv w:val="1"/>
      <w:marLeft w:val="0"/>
      <w:marRight w:val="0"/>
      <w:marTop w:val="0"/>
      <w:marBottom w:val="0"/>
      <w:divBdr>
        <w:top w:val="none" w:sz="0" w:space="0" w:color="auto"/>
        <w:left w:val="none" w:sz="0" w:space="0" w:color="auto"/>
        <w:bottom w:val="none" w:sz="0" w:space="0" w:color="auto"/>
        <w:right w:val="none" w:sz="0" w:space="0" w:color="auto"/>
      </w:divBdr>
    </w:div>
    <w:div w:id="1897423846">
      <w:bodyDiv w:val="1"/>
      <w:marLeft w:val="0"/>
      <w:marRight w:val="0"/>
      <w:marTop w:val="0"/>
      <w:marBottom w:val="0"/>
      <w:divBdr>
        <w:top w:val="none" w:sz="0" w:space="0" w:color="auto"/>
        <w:left w:val="none" w:sz="0" w:space="0" w:color="auto"/>
        <w:bottom w:val="none" w:sz="0" w:space="0" w:color="auto"/>
        <w:right w:val="none" w:sz="0" w:space="0" w:color="auto"/>
      </w:divBdr>
    </w:div>
    <w:div w:id="1898281127">
      <w:bodyDiv w:val="1"/>
      <w:marLeft w:val="0"/>
      <w:marRight w:val="0"/>
      <w:marTop w:val="0"/>
      <w:marBottom w:val="0"/>
      <w:divBdr>
        <w:top w:val="none" w:sz="0" w:space="0" w:color="auto"/>
        <w:left w:val="none" w:sz="0" w:space="0" w:color="auto"/>
        <w:bottom w:val="none" w:sz="0" w:space="0" w:color="auto"/>
        <w:right w:val="none" w:sz="0" w:space="0" w:color="auto"/>
      </w:divBdr>
    </w:div>
    <w:div w:id="1909877608">
      <w:bodyDiv w:val="1"/>
      <w:marLeft w:val="0"/>
      <w:marRight w:val="0"/>
      <w:marTop w:val="0"/>
      <w:marBottom w:val="0"/>
      <w:divBdr>
        <w:top w:val="none" w:sz="0" w:space="0" w:color="auto"/>
        <w:left w:val="none" w:sz="0" w:space="0" w:color="auto"/>
        <w:bottom w:val="none" w:sz="0" w:space="0" w:color="auto"/>
        <w:right w:val="none" w:sz="0" w:space="0" w:color="auto"/>
      </w:divBdr>
    </w:div>
    <w:div w:id="1916669840">
      <w:bodyDiv w:val="1"/>
      <w:marLeft w:val="0"/>
      <w:marRight w:val="0"/>
      <w:marTop w:val="0"/>
      <w:marBottom w:val="0"/>
      <w:divBdr>
        <w:top w:val="none" w:sz="0" w:space="0" w:color="auto"/>
        <w:left w:val="none" w:sz="0" w:space="0" w:color="auto"/>
        <w:bottom w:val="none" w:sz="0" w:space="0" w:color="auto"/>
        <w:right w:val="none" w:sz="0" w:space="0" w:color="auto"/>
      </w:divBdr>
    </w:div>
    <w:div w:id="1919554941">
      <w:bodyDiv w:val="1"/>
      <w:marLeft w:val="0"/>
      <w:marRight w:val="0"/>
      <w:marTop w:val="0"/>
      <w:marBottom w:val="0"/>
      <w:divBdr>
        <w:top w:val="none" w:sz="0" w:space="0" w:color="auto"/>
        <w:left w:val="none" w:sz="0" w:space="0" w:color="auto"/>
        <w:bottom w:val="none" w:sz="0" w:space="0" w:color="auto"/>
        <w:right w:val="none" w:sz="0" w:space="0" w:color="auto"/>
      </w:divBdr>
    </w:div>
    <w:div w:id="1926381240">
      <w:bodyDiv w:val="1"/>
      <w:marLeft w:val="0"/>
      <w:marRight w:val="0"/>
      <w:marTop w:val="0"/>
      <w:marBottom w:val="0"/>
      <w:divBdr>
        <w:top w:val="none" w:sz="0" w:space="0" w:color="auto"/>
        <w:left w:val="none" w:sz="0" w:space="0" w:color="auto"/>
        <w:bottom w:val="none" w:sz="0" w:space="0" w:color="auto"/>
        <w:right w:val="none" w:sz="0" w:space="0" w:color="auto"/>
      </w:divBdr>
    </w:div>
    <w:div w:id="1930385935">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
    <w:div w:id="1939096008">
      <w:bodyDiv w:val="1"/>
      <w:marLeft w:val="0"/>
      <w:marRight w:val="0"/>
      <w:marTop w:val="0"/>
      <w:marBottom w:val="0"/>
      <w:divBdr>
        <w:top w:val="none" w:sz="0" w:space="0" w:color="auto"/>
        <w:left w:val="none" w:sz="0" w:space="0" w:color="auto"/>
        <w:bottom w:val="none" w:sz="0" w:space="0" w:color="auto"/>
        <w:right w:val="none" w:sz="0" w:space="0" w:color="auto"/>
      </w:divBdr>
    </w:div>
    <w:div w:id="1944991396">
      <w:bodyDiv w:val="1"/>
      <w:marLeft w:val="0"/>
      <w:marRight w:val="0"/>
      <w:marTop w:val="0"/>
      <w:marBottom w:val="0"/>
      <w:divBdr>
        <w:top w:val="none" w:sz="0" w:space="0" w:color="auto"/>
        <w:left w:val="none" w:sz="0" w:space="0" w:color="auto"/>
        <w:bottom w:val="none" w:sz="0" w:space="0" w:color="auto"/>
        <w:right w:val="none" w:sz="0" w:space="0" w:color="auto"/>
      </w:divBdr>
    </w:div>
    <w:div w:id="1947492857">
      <w:bodyDiv w:val="1"/>
      <w:marLeft w:val="0"/>
      <w:marRight w:val="0"/>
      <w:marTop w:val="0"/>
      <w:marBottom w:val="0"/>
      <w:divBdr>
        <w:top w:val="none" w:sz="0" w:space="0" w:color="auto"/>
        <w:left w:val="none" w:sz="0" w:space="0" w:color="auto"/>
        <w:bottom w:val="none" w:sz="0" w:space="0" w:color="auto"/>
        <w:right w:val="none" w:sz="0" w:space="0" w:color="auto"/>
      </w:divBdr>
    </w:div>
    <w:div w:id="1952741710">
      <w:bodyDiv w:val="1"/>
      <w:marLeft w:val="0"/>
      <w:marRight w:val="0"/>
      <w:marTop w:val="0"/>
      <w:marBottom w:val="0"/>
      <w:divBdr>
        <w:top w:val="none" w:sz="0" w:space="0" w:color="auto"/>
        <w:left w:val="none" w:sz="0" w:space="0" w:color="auto"/>
        <w:bottom w:val="none" w:sz="0" w:space="0" w:color="auto"/>
        <w:right w:val="none" w:sz="0" w:space="0" w:color="auto"/>
      </w:divBdr>
    </w:div>
    <w:div w:id="1963531956">
      <w:bodyDiv w:val="1"/>
      <w:marLeft w:val="0"/>
      <w:marRight w:val="0"/>
      <w:marTop w:val="0"/>
      <w:marBottom w:val="0"/>
      <w:divBdr>
        <w:top w:val="none" w:sz="0" w:space="0" w:color="auto"/>
        <w:left w:val="none" w:sz="0" w:space="0" w:color="auto"/>
        <w:bottom w:val="none" w:sz="0" w:space="0" w:color="auto"/>
        <w:right w:val="none" w:sz="0" w:space="0" w:color="auto"/>
      </w:divBdr>
    </w:div>
    <w:div w:id="1966227631">
      <w:bodyDiv w:val="1"/>
      <w:marLeft w:val="0"/>
      <w:marRight w:val="0"/>
      <w:marTop w:val="0"/>
      <w:marBottom w:val="0"/>
      <w:divBdr>
        <w:top w:val="none" w:sz="0" w:space="0" w:color="auto"/>
        <w:left w:val="none" w:sz="0" w:space="0" w:color="auto"/>
        <w:bottom w:val="none" w:sz="0" w:space="0" w:color="auto"/>
        <w:right w:val="none" w:sz="0" w:space="0" w:color="auto"/>
      </w:divBdr>
    </w:div>
    <w:div w:id="1971588081">
      <w:bodyDiv w:val="1"/>
      <w:marLeft w:val="0"/>
      <w:marRight w:val="0"/>
      <w:marTop w:val="0"/>
      <w:marBottom w:val="0"/>
      <w:divBdr>
        <w:top w:val="none" w:sz="0" w:space="0" w:color="auto"/>
        <w:left w:val="none" w:sz="0" w:space="0" w:color="auto"/>
        <w:bottom w:val="none" w:sz="0" w:space="0" w:color="auto"/>
        <w:right w:val="none" w:sz="0" w:space="0" w:color="auto"/>
      </w:divBdr>
    </w:div>
    <w:div w:id="1972904545">
      <w:bodyDiv w:val="1"/>
      <w:marLeft w:val="0"/>
      <w:marRight w:val="0"/>
      <w:marTop w:val="0"/>
      <w:marBottom w:val="0"/>
      <w:divBdr>
        <w:top w:val="none" w:sz="0" w:space="0" w:color="auto"/>
        <w:left w:val="none" w:sz="0" w:space="0" w:color="auto"/>
        <w:bottom w:val="none" w:sz="0" w:space="0" w:color="auto"/>
        <w:right w:val="none" w:sz="0" w:space="0" w:color="auto"/>
      </w:divBdr>
    </w:div>
    <w:div w:id="1975481668">
      <w:bodyDiv w:val="1"/>
      <w:marLeft w:val="0"/>
      <w:marRight w:val="0"/>
      <w:marTop w:val="0"/>
      <w:marBottom w:val="0"/>
      <w:divBdr>
        <w:top w:val="none" w:sz="0" w:space="0" w:color="auto"/>
        <w:left w:val="none" w:sz="0" w:space="0" w:color="auto"/>
        <w:bottom w:val="none" w:sz="0" w:space="0" w:color="auto"/>
        <w:right w:val="none" w:sz="0" w:space="0" w:color="auto"/>
      </w:divBdr>
    </w:div>
    <w:div w:id="1975911395">
      <w:bodyDiv w:val="1"/>
      <w:marLeft w:val="0"/>
      <w:marRight w:val="0"/>
      <w:marTop w:val="0"/>
      <w:marBottom w:val="0"/>
      <w:divBdr>
        <w:top w:val="none" w:sz="0" w:space="0" w:color="auto"/>
        <w:left w:val="none" w:sz="0" w:space="0" w:color="auto"/>
        <w:bottom w:val="none" w:sz="0" w:space="0" w:color="auto"/>
        <w:right w:val="none" w:sz="0" w:space="0" w:color="auto"/>
      </w:divBdr>
    </w:div>
    <w:div w:id="1984192075">
      <w:bodyDiv w:val="1"/>
      <w:marLeft w:val="0"/>
      <w:marRight w:val="0"/>
      <w:marTop w:val="0"/>
      <w:marBottom w:val="0"/>
      <w:divBdr>
        <w:top w:val="none" w:sz="0" w:space="0" w:color="auto"/>
        <w:left w:val="none" w:sz="0" w:space="0" w:color="auto"/>
        <w:bottom w:val="none" w:sz="0" w:space="0" w:color="auto"/>
        <w:right w:val="none" w:sz="0" w:space="0" w:color="auto"/>
      </w:divBdr>
    </w:div>
    <w:div w:id="1988782413">
      <w:bodyDiv w:val="1"/>
      <w:marLeft w:val="0"/>
      <w:marRight w:val="0"/>
      <w:marTop w:val="0"/>
      <w:marBottom w:val="0"/>
      <w:divBdr>
        <w:top w:val="none" w:sz="0" w:space="0" w:color="auto"/>
        <w:left w:val="none" w:sz="0" w:space="0" w:color="auto"/>
        <w:bottom w:val="none" w:sz="0" w:space="0" w:color="auto"/>
        <w:right w:val="none" w:sz="0" w:space="0" w:color="auto"/>
      </w:divBdr>
    </w:div>
    <w:div w:id="1989551454">
      <w:bodyDiv w:val="1"/>
      <w:marLeft w:val="0"/>
      <w:marRight w:val="0"/>
      <w:marTop w:val="0"/>
      <w:marBottom w:val="0"/>
      <w:divBdr>
        <w:top w:val="none" w:sz="0" w:space="0" w:color="auto"/>
        <w:left w:val="none" w:sz="0" w:space="0" w:color="auto"/>
        <w:bottom w:val="none" w:sz="0" w:space="0" w:color="auto"/>
        <w:right w:val="none" w:sz="0" w:space="0" w:color="auto"/>
      </w:divBdr>
    </w:div>
    <w:div w:id="1997108556">
      <w:bodyDiv w:val="1"/>
      <w:marLeft w:val="0"/>
      <w:marRight w:val="0"/>
      <w:marTop w:val="0"/>
      <w:marBottom w:val="0"/>
      <w:divBdr>
        <w:top w:val="none" w:sz="0" w:space="0" w:color="auto"/>
        <w:left w:val="none" w:sz="0" w:space="0" w:color="auto"/>
        <w:bottom w:val="none" w:sz="0" w:space="0" w:color="auto"/>
        <w:right w:val="none" w:sz="0" w:space="0" w:color="auto"/>
      </w:divBdr>
    </w:div>
    <w:div w:id="2001693269">
      <w:bodyDiv w:val="1"/>
      <w:marLeft w:val="0"/>
      <w:marRight w:val="0"/>
      <w:marTop w:val="0"/>
      <w:marBottom w:val="0"/>
      <w:divBdr>
        <w:top w:val="none" w:sz="0" w:space="0" w:color="auto"/>
        <w:left w:val="none" w:sz="0" w:space="0" w:color="auto"/>
        <w:bottom w:val="none" w:sz="0" w:space="0" w:color="auto"/>
        <w:right w:val="none" w:sz="0" w:space="0" w:color="auto"/>
      </w:divBdr>
    </w:div>
    <w:div w:id="2004777742">
      <w:bodyDiv w:val="1"/>
      <w:marLeft w:val="0"/>
      <w:marRight w:val="0"/>
      <w:marTop w:val="0"/>
      <w:marBottom w:val="0"/>
      <w:divBdr>
        <w:top w:val="none" w:sz="0" w:space="0" w:color="auto"/>
        <w:left w:val="none" w:sz="0" w:space="0" w:color="auto"/>
        <w:bottom w:val="none" w:sz="0" w:space="0" w:color="auto"/>
        <w:right w:val="none" w:sz="0" w:space="0" w:color="auto"/>
      </w:divBdr>
    </w:div>
    <w:div w:id="2016299656">
      <w:bodyDiv w:val="1"/>
      <w:marLeft w:val="0"/>
      <w:marRight w:val="0"/>
      <w:marTop w:val="0"/>
      <w:marBottom w:val="0"/>
      <w:divBdr>
        <w:top w:val="none" w:sz="0" w:space="0" w:color="auto"/>
        <w:left w:val="none" w:sz="0" w:space="0" w:color="auto"/>
        <w:bottom w:val="none" w:sz="0" w:space="0" w:color="auto"/>
        <w:right w:val="none" w:sz="0" w:space="0" w:color="auto"/>
      </w:divBdr>
    </w:div>
    <w:div w:id="2019231024">
      <w:bodyDiv w:val="1"/>
      <w:marLeft w:val="0"/>
      <w:marRight w:val="0"/>
      <w:marTop w:val="0"/>
      <w:marBottom w:val="0"/>
      <w:divBdr>
        <w:top w:val="none" w:sz="0" w:space="0" w:color="auto"/>
        <w:left w:val="none" w:sz="0" w:space="0" w:color="auto"/>
        <w:bottom w:val="none" w:sz="0" w:space="0" w:color="auto"/>
        <w:right w:val="none" w:sz="0" w:space="0" w:color="auto"/>
      </w:divBdr>
    </w:div>
    <w:div w:id="2019233649">
      <w:bodyDiv w:val="1"/>
      <w:marLeft w:val="0"/>
      <w:marRight w:val="0"/>
      <w:marTop w:val="0"/>
      <w:marBottom w:val="0"/>
      <w:divBdr>
        <w:top w:val="none" w:sz="0" w:space="0" w:color="auto"/>
        <w:left w:val="none" w:sz="0" w:space="0" w:color="auto"/>
        <w:bottom w:val="none" w:sz="0" w:space="0" w:color="auto"/>
        <w:right w:val="none" w:sz="0" w:space="0" w:color="auto"/>
      </w:divBdr>
    </w:div>
    <w:div w:id="2021197884">
      <w:bodyDiv w:val="1"/>
      <w:marLeft w:val="0"/>
      <w:marRight w:val="0"/>
      <w:marTop w:val="0"/>
      <w:marBottom w:val="0"/>
      <w:divBdr>
        <w:top w:val="none" w:sz="0" w:space="0" w:color="auto"/>
        <w:left w:val="none" w:sz="0" w:space="0" w:color="auto"/>
        <w:bottom w:val="none" w:sz="0" w:space="0" w:color="auto"/>
        <w:right w:val="none" w:sz="0" w:space="0" w:color="auto"/>
      </w:divBdr>
    </w:div>
    <w:div w:id="2042436577">
      <w:bodyDiv w:val="1"/>
      <w:marLeft w:val="0"/>
      <w:marRight w:val="0"/>
      <w:marTop w:val="0"/>
      <w:marBottom w:val="0"/>
      <w:divBdr>
        <w:top w:val="none" w:sz="0" w:space="0" w:color="auto"/>
        <w:left w:val="none" w:sz="0" w:space="0" w:color="auto"/>
        <w:bottom w:val="none" w:sz="0" w:space="0" w:color="auto"/>
        <w:right w:val="none" w:sz="0" w:space="0" w:color="auto"/>
      </w:divBdr>
    </w:div>
    <w:div w:id="2044936378">
      <w:bodyDiv w:val="1"/>
      <w:marLeft w:val="0"/>
      <w:marRight w:val="0"/>
      <w:marTop w:val="0"/>
      <w:marBottom w:val="0"/>
      <w:divBdr>
        <w:top w:val="none" w:sz="0" w:space="0" w:color="auto"/>
        <w:left w:val="none" w:sz="0" w:space="0" w:color="auto"/>
        <w:bottom w:val="none" w:sz="0" w:space="0" w:color="auto"/>
        <w:right w:val="none" w:sz="0" w:space="0" w:color="auto"/>
      </w:divBdr>
    </w:div>
    <w:div w:id="2052420303">
      <w:bodyDiv w:val="1"/>
      <w:marLeft w:val="0"/>
      <w:marRight w:val="0"/>
      <w:marTop w:val="0"/>
      <w:marBottom w:val="0"/>
      <w:divBdr>
        <w:top w:val="none" w:sz="0" w:space="0" w:color="auto"/>
        <w:left w:val="none" w:sz="0" w:space="0" w:color="auto"/>
        <w:bottom w:val="none" w:sz="0" w:space="0" w:color="auto"/>
        <w:right w:val="none" w:sz="0" w:space="0" w:color="auto"/>
      </w:divBdr>
    </w:div>
    <w:div w:id="2053773887">
      <w:bodyDiv w:val="1"/>
      <w:marLeft w:val="0"/>
      <w:marRight w:val="0"/>
      <w:marTop w:val="0"/>
      <w:marBottom w:val="0"/>
      <w:divBdr>
        <w:top w:val="none" w:sz="0" w:space="0" w:color="auto"/>
        <w:left w:val="none" w:sz="0" w:space="0" w:color="auto"/>
        <w:bottom w:val="none" w:sz="0" w:space="0" w:color="auto"/>
        <w:right w:val="none" w:sz="0" w:space="0" w:color="auto"/>
      </w:divBdr>
    </w:div>
    <w:div w:id="2065523509">
      <w:bodyDiv w:val="1"/>
      <w:marLeft w:val="0"/>
      <w:marRight w:val="0"/>
      <w:marTop w:val="0"/>
      <w:marBottom w:val="0"/>
      <w:divBdr>
        <w:top w:val="none" w:sz="0" w:space="0" w:color="auto"/>
        <w:left w:val="none" w:sz="0" w:space="0" w:color="auto"/>
        <w:bottom w:val="none" w:sz="0" w:space="0" w:color="auto"/>
        <w:right w:val="none" w:sz="0" w:space="0" w:color="auto"/>
      </w:divBdr>
      <w:divsChild>
        <w:div w:id="921179407">
          <w:marLeft w:val="0"/>
          <w:marRight w:val="0"/>
          <w:marTop w:val="100"/>
          <w:marBottom w:val="100"/>
          <w:divBdr>
            <w:top w:val="none" w:sz="0" w:space="0" w:color="auto"/>
            <w:left w:val="none" w:sz="0" w:space="0" w:color="auto"/>
            <w:bottom w:val="none" w:sz="0" w:space="0" w:color="auto"/>
            <w:right w:val="none" w:sz="0" w:space="0" w:color="auto"/>
          </w:divBdr>
          <w:divsChild>
            <w:div w:id="1402947377">
              <w:marLeft w:val="0"/>
              <w:marRight w:val="0"/>
              <w:marTop w:val="100"/>
              <w:marBottom w:val="100"/>
              <w:divBdr>
                <w:top w:val="none" w:sz="0" w:space="0" w:color="auto"/>
                <w:left w:val="none" w:sz="0" w:space="0" w:color="auto"/>
                <w:bottom w:val="none" w:sz="0" w:space="0" w:color="auto"/>
                <w:right w:val="none" w:sz="0" w:space="0" w:color="auto"/>
              </w:divBdr>
              <w:divsChild>
                <w:div w:id="1576629795">
                  <w:marLeft w:val="0"/>
                  <w:marRight w:val="0"/>
                  <w:marTop w:val="0"/>
                  <w:marBottom w:val="0"/>
                  <w:divBdr>
                    <w:top w:val="single" w:sz="6" w:space="0" w:color="600000"/>
                    <w:left w:val="single" w:sz="6" w:space="0" w:color="600000"/>
                    <w:bottom w:val="single" w:sz="6" w:space="0" w:color="600000"/>
                    <w:right w:val="single" w:sz="6" w:space="0" w:color="600000"/>
                  </w:divBdr>
                  <w:divsChild>
                    <w:div w:id="527915123">
                      <w:marLeft w:val="0"/>
                      <w:marRight w:val="0"/>
                      <w:marTop w:val="0"/>
                      <w:marBottom w:val="0"/>
                      <w:divBdr>
                        <w:top w:val="none" w:sz="0" w:space="0" w:color="auto"/>
                        <w:left w:val="none" w:sz="0" w:space="0" w:color="auto"/>
                        <w:bottom w:val="none" w:sz="0" w:space="0" w:color="auto"/>
                        <w:right w:val="none" w:sz="0" w:space="0" w:color="auto"/>
                      </w:divBdr>
                      <w:divsChild>
                        <w:div w:id="157816381">
                          <w:marLeft w:val="0"/>
                          <w:marRight w:val="0"/>
                          <w:marTop w:val="300"/>
                          <w:marBottom w:val="0"/>
                          <w:divBdr>
                            <w:top w:val="none" w:sz="0" w:space="0" w:color="auto"/>
                            <w:left w:val="none" w:sz="0" w:space="0" w:color="auto"/>
                            <w:bottom w:val="none" w:sz="0" w:space="0" w:color="auto"/>
                            <w:right w:val="none" w:sz="0" w:space="0" w:color="auto"/>
                          </w:divBdr>
                          <w:divsChild>
                            <w:div w:id="1802916339">
                              <w:marLeft w:val="0"/>
                              <w:marRight w:val="0"/>
                              <w:marTop w:val="0"/>
                              <w:marBottom w:val="0"/>
                              <w:divBdr>
                                <w:top w:val="none" w:sz="0" w:space="0" w:color="auto"/>
                                <w:left w:val="none" w:sz="0" w:space="0" w:color="auto"/>
                                <w:bottom w:val="none" w:sz="0" w:space="0" w:color="auto"/>
                                <w:right w:val="none" w:sz="0" w:space="0" w:color="auto"/>
                              </w:divBdr>
                              <w:divsChild>
                                <w:div w:id="584385859">
                                  <w:marLeft w:val="75"/>
                                  <w:marRight w:val="0"/>
                                  <w:marTop w:val="0"/>
                                  <w:marBottom w:val="0"/>
                                  <w:divBdr>
                                    <w:top w:val="none" w:sz="0" w:space="0" w:color="auto"/>
                                    <w:left w:val="none" w:sz="0" w:space="0" w:color="auto"/>
                                    <w:bottom w:val="none" w:sz="0" w:space="0" w:color="auto"/>
                                    <w:right w:val="none" w:sz="0" w:space="0" w:color="auto"/>
                                  </w:divBdr>
                                  <w:divsChild>
                                    <w:div w:id="1523788844">
                                      <w:marLeft w:val="0"/>
                                      <w:marRight w:val="0"/>
                                      <w:marTop w:val="0"/>
                                      <w:marBottom w:val="0"/>
                                      <w:divBdr>
                                        <w:top w:val="none" w:sz="0" w:space="0" w:color="auto"/>
                                        <w:left w:val="none" w:sz="0" w:space="0" w:color="auto"/>
                                        <w:bottom w:val="none" w:sz="0" w:space="0" w:color="auto"/>
                                        <w:right w:val="none" w:sz="0" w:space="0" w:color="auto"/>
                                      </w:divBdr>
                                      <w:divsChild>
                                        <w:div w:id="175661266">
                                          <w:marLeft w:val="0"/>
                                          <w:marRight w:val="0"/>
                                          <w:marTop w:val="0"/>
                                          <w:marBottom w:val="0"/>
                                          <w:divBdr>
                                            <w:top w:val="none" w:sz="0" w:space="0" w:color="auto"/>
                                            <w:left w:val="none" w:sz="0" w:space="0" w:color="auto"/>
                                            <w:bottom w:val="none" w:sz="0" w:space="0" w:color="auto"/>
                                            <w:right w:val="none" w:sz="0" w:space="0" w:color="auto"/>
                                          </w:divBdr>
                                        </w:div>
                                        <w:div w:id="345912042">
                                          <w:marLeft w:val="0"/>
                                          <w:marRight w:val="0"/>
                                          <w:marTop w:val="0"/>
                                          <w:marBottom w:val="0"/>
                                          <w:divBdr>
                                            <w:top w:val="none" w:sz="0" w:space="0" w:color="auto"/>
                                            <w:left w:val="none" w:sz="0" w:space="0" w:color="auto"/>
                                            <w:bottom w:val="none" w:sz="0" w:space="0" w:color="auto"/>
                                            <w:right w:val="none" w:sz="0" w:space="0" w:color="auto"/>
                                          </w:divBdr>
                                        </w:div>
                                        <w:div w:id="1368025771">
                                          <w:marLeft w:val="0"/>
                                          <w:marRight w:val="0"/>
                                          <w:marTop w:val="0"/>
                                          <w:marBottom w:val="0"/>
                                          <w:divBdr>
                                            <w:top w:val="none" w:sz="0" w:space="0" w:color="auto"/>
                                            <w:left w:val="none" w:sz="0" w:space="0" w:color="auto"/>
                                            <w:bottom w:val="none" w:sz="0" w:space="0" w:color="auto"/>
                                            <w:right w:val="none" w:sz="0" w:space="0" w:color="auto"/>
                                          </w:divBdr>
                                        </w:div>
                                        <w:div w:id="2007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995145">
      <w:bodyDiv w:val="1"/>
      <w:marLeft w:val="0"/>
      <w:marRight w:val="0"/>
      <w:marTop w:val="0"/>
      <w:marBottom w:val="0"/>
      <w:divBdr>
        <w:top w:val="none" w:sz="0" w:space="0" w:color="auto"/>
        <w:left w:val="none" w:sz="0" w:space="0" w:color="auto"/>
        <w:bottom w:val="none" w:sz="0" w:space="0" w:color="auto"/>
        <w:right w:val="none" w:sz="0" w:space="0" w:color="auto"/>
      </w:divBdr>
    </w:div>
    <w:div w:id="2069452797">
      <w:bodyDiv w:val="1"/>
      <w:marLeft w:val="0"/>
      <w:marRight w:val="0"/>
      <w:marTop w:val="0"/>
      <w:marBottom w:val="0"/>
      <w:divBdr>
        <w:top w:val="none" w:sz="0" w:space="0" w:color="auto"/>
        <w:left w:val="none" w:sz="0" w:space="0" w:color="auto"/>
        <w:bottom w:val="none" w:sz="0" w:space="0" w:color="auto"/>
        <w:right w:val="none" w:sz="0" w:space="0" w:color="auto"/>
      </w:divBdr>
    </w:div>
    <w:div w:id="2073429869">
      <w:bodyDiv w:val="1"/>
      <w:marLeft w:val="0"/>
      <w:marRight w:val="0"/>
      <w:marTop w:val="0"/>
      <w:marBottom w:val="0"/>
      <w:divBdr>
        <w:top w:val="none" w:sz="0" w:space="0" w:color="auto"/>
        <w:left w:val="none" w:sz="0" w:space="0" w:color="auto"/>
        <w:bottom w:val="none" w:sz="0" w:space="0" w:color="auto"/>
        <w:right w:val="none" w:sz="0" w:space="0" w:color="auto"/>
      </w:divBdr>
    </w:div>
    <w:div w:id="2079857497">
      <w:bodyDiv w:val="1"/>
      <w:marLeft w:val="0"/>
      <w:marRight w:val="0"/>
      <w:marTop w:val="0"/>
      <w:marBottom w:val="0"/>
      <w:divBdr>
        <w:top w:val="none" w:sz="0" w:space="0" w:color="auto"/>
        <w:left w:val="none" w:sz="0" w:space="0" w:color="auto"/>
        <w:bottom w:val="none" w:sz="0" w:space="0" w:color="auto"/>
        <w:right w:val="none" w:sz="0" w:space="0" w:color="auto"/>
      </w:divBdr>
    </w:div>
    <w:div w:id="2084136886">
      <w:bodyDiv w:val="1"/>
      <w:marLeft w:val="0"/>
      <w:marRight w:val="0"/>
      <w:marTop w:val="0"/>
      <w:marBottom w:val="0"/>
      <w:divBdr>
        <w:top w:val="none" w:sz="0" w:space="0" w:color="auto"/>
        <w:left w:val="none" w:sz="0" w:space="0" w:color="auto"/>
        <w:bottom w:val="none" w:sz="0" w:space="0" w:color="auto"/>
        <w:right w:val="none" w:sz="0" w:space="0" w:color="auto"/>
      </w:divBdr>
    </w:div>
    <w:div w:id="2086487686">
      <w:bodyDiv w:val="1"/>
      <w:marLeft w:val="0"/>
      <w:marRight w:val="0"/>
      <w:marTop w:val="0"/>
      <w:marBottom w:val="0"/>
      <w:divBdr>
        <w:top w:val="none" w:sz="0" w:space="0" w:color="auto"/>
        <w:left w:val="none" w:sz="0" w:space="0" w:color="auto"/>
        <w:bottom w:val="none" w:sz="0" w:space="0" w:color="auto"/>
        <w:right w:val="none" w:sz="0" w:space="0" w:color="auto"/>
      </w:divBdr>
    </w:div>
    <w:div w:id="2089032527">
      <w:bodyDiv w:val="1"/>
      <w:marLeft w:val="0"/>
      <w:marRight w:val="0"/>
      <w:marTop w:val="0"/>
      <w:marBottom w:val="0"/>
      <w:divBdr>
        <w:top w:val="none" w:sz="0" w:space="0" w:color="auto"/>
        <w:left w:val="none" w:sz="0" w:space="0" w:color="auto"/>
        <w:bottom w:val="none" w:sz="0" w:space="0" w:color="auto"/>
        <w:right w:val="none" w:sz="0" w:space="0" w:color="auto"/>
      </w:divBdr>
    </w:div>
    <w:div w:id="2092845713">
      <w:bodyDiv w:val="1"/>
      <w:marLeft w:val="0"/>
      <w:marRight w:val="0"/>
      <w:marTop w:val="0"/>
      <w:marBottom w:val="0"/>
      <w:divBdr>
        <w:top w:val="none" w:sz="0" w:space="0" w:color="auto"/>
        <w:left w:val="none" w:sz="0" w:space="0" w:color="auto"/>
        <w:bottom w:val="none" w:sz="0" w:space="0" w:color="auto"/>
        <w:right w:val="none" w:sz="0" w:space="0" w:color="auto"/>
      </w:divBdr>
    </w:div>
    <w:div w:id="2094819850">
      <w:bodyDiv w:val="1"/>
      <w:marLeft w:val="0"/>
      <w:marRight w:val="0"/>
      <w:marTop w:val="0"/>
      <w:marBottom w:val="0"/>
      <w:divBdr>
        <w:top w:val="none" w:sz="0" w:space="0" w:color="auto"/>
        <w:left w:val="none" w:sz="0" w:space="0" w:color="auto"/>
        <w:bottom w:val="none" w:sz="0" w:space="0" w:color="auto"/>
        <w:right w:val="none" w:sz="0" w:space="0" w:color="auto"/>
      </w:divBdr>
    </w:div>
    <w:div w:id="2094887628">
      <w:bodyDiv w:val="1"/>
      <w:marLeft w:val="0"/>
      <w:marRight w:val="0"/>
      <w:marTop w:val="0"/>
      <w:marBottom w:val="0"/>
      <w:divBdr>
        <w:top w:val="none" w:sz="0" w:space="0" w:color="auto"/>
        <w:left w:val="none" w:sz="0" w:space="0" w:color="auto"/>
        <w:bottom w:val="none" w:sz="0" w:space="0" w:color="auto"/>
        <w:right w:val="none" w:sz="0" w:space="0" w:color="auto"/>
      </w:divBdr>
    </w:div>
    <w:div w:id="2095127822">
      <w:bodyDiv w:val="1"/>
      <w:marLeft w:val="0"/>
      <w:marRight w:val="0"/>
      <w:marTop w:val="0"/>
      <w:marBottom w:val="0"/>
      <w:divBdr>
        <w:top w:val="none" w:sz="0" w:space="0" w:color="auto"/>
        <w:left w:val="none" w:sz="0" w:space="0" w:color="auto"/>
        <w:bottom w:val="none" w:sz="0" w:space="0" w:color="auto"/>
        <w:right w:val="none" w:sz="0" w:space="0" w:color="auto"/>
      </w:divBdr>
    </w:div>
    <w:div w:id="2105222930">
      <w:bodyDiv w:val="1"/>
      <w:marLeft w:val="0"/>
      <w:marRight w:val="0"/>
      <w:marTop w:val="0"/>
      <w:marBottom w:val="0"/>
      <w:divBdr>
        <w:top w:val="none" w:sz="0" w:space="0" w:color="auto"/>
        <w:left w:val="none" w:sz="0" w:space="0" w:color="auto"/>
        <w:bottom w:val="none" w:sz="0" w:space="0" w:color="auto"/>
        <w:right w:val="none" w:sz="0" w:space="0" w:color="auto"/>
      </w:divBdr>
    </w:div>
    <w:div w:id="2108693611">
      <w:bodyDiv w:val="1"/>
      <w:marLeft w:val="0"/>
      <w:marRight w:val="0"/>
      <w:marTop w:val="0"/>
      <w:marBottom w:val="0"/>
      <w:divBdr>
        <w:top w:val="none" w:sz="0" w:space="0" w:color="auto"/>
        <w:left w:val="none" w:sz="0" w:space="0" w:color="auto"/>
        <w:bottom w:val="none" w:sz="0" w:space="0" w:color="auto"/>
        <w:right w:val="none" w:sz="0" w:space="0" w:color="auto"/>
      </w:divBdr>
    </w:div>
    <w:div w:id="2112161514">
      <w:bodyDiv w:val="1"/>
      <w:marLeft w:val="0"/>
      <w:marRight w:val="0"/>
      <w:marTop w:val="0"/>
      <w:marBottom w:val="0"/>
      <w:divBdr>
        <w:top w:val="none" w:sz="0" w:space="0" w:color="auto"/>
        <w:left w:val="none" w:sz="0" w:space="0" w:color="auto"/>
        <w:bottom w:val="none" w:sz="0" w:space="0" w:color="auto"/>
        <w:right w:val="none" w:sz="0" w:space="0" w:color="auto"/>
      </w:divBdr>
    </w:div>
    <w:div w:id="2112773206">
      <w:bodyDiv w:val="1"/>
      <w:marLeft w:val="0"/>
      <w:marRight w:val="0"/>
      <w:marTop w:val="0"/>
      <w:marBottom w:val="0"/>
      <w:divBdr>
        <w:top w:val="none" w:sz="0" w:space="0" w:color="auto"/>
        <w:left w:val="none" w:sz="0" w:space="0" w:color="auto"/>
        <w:bottom w:val="none" w:sz="0" w:space="0" w:color="auto"/>
        <w:right w:val="none" w:sz="0" w:space="0" w:color="auto"/>
      </w:divBdr>
    </w:div>
    <w:div w:id="2115440046">
      <w:bodyDiv w:val="1"/>
      <w:marLeft w:val="0"/>
      <w:marRight w:val="0"/>
      <w:marTop w:val="0"/>
      <w:marBottom w:val="0"/>
      <w:divBdr>
        <w:top w:val="none" w:sz="0" w:space="0" w:color="auto"/>
        <w:left w:val="none" w:sz="0" w:space="0" w:color="auto"/>
        <w:bottom w:val="none" w:sz="0" w:space="0" w:color="auto"/>
        <w:right w:val="none" w:sz="0" w:space="0" w:color="auto"/>
      </w:divBdr>
    </w:div>
    <w:div w:id="2117289702">
      <w:bodyDiv w:val="1"/>
      <w:marLeft w:val="0"/>
      <w:marRight w:val="0"/>
      <w:marTop w:val="0"/>
      <w:marBottom w:val="0"/>
      <w:divBdr>
        <w:top w:val="none" w:sz="0" w:space="0" w:color="auto"/>
        <w:left w:val="none" w:sz="0" w:space="0" w:color="auto"/>
        <w:bottom w:val="none" w:sz="0" w:space="0" w:color="auto"/>
        <w:right w:val="none" w:sz="0" w:space="0" w:color="auto"/>
      </w:divBdr>
    </w:div>
    <w:div w:id="2127507835">
      <w:bodyDiv w:val="1"/>
      <w:marLeft w:val="0"/>
      <w:marRight w:val="0"/>
      <w:marTop w:val="0"/>
      <w:marBottom w:val="0"/>
      <w:divBdr>
        <w:top w:val="none" w:sz="0" w:space="0" w:color="auto"/>
        <w:left w:val="none" w:sz="0" w:space="0" w:color="auto"/>
        <w:bottom w:val="none" w:sz="0" w:space="0" w:color="auto"/>
        <w:right w:val="none" w:sz="0" w:space="0" w:color="auto"/>
      </w:divBdr>
      <w:divsChild>
        <w:div w:id="1270967674">
          <w:marLeft w:val="0"/>
          <w:marRight w:val="0"/>
          <w:marTop w:val="100"/>
          <w:marBottom w:val="100"/>
          <w:divBdr>
            <w:top w:val="none" w:sz="0" w:space="0" w:color="auto"/>
            <w:left w:val="none" w:sz="0" w:space="0" w:color="auto"/>
            <w:bottom w:val="none" w:sz="0" w:space="0" w:color="auto"/>
            <w:right w:val="none" w:sz="0" w:space="0" w:color="auto"/>
          </w:divBdr>
          <w:divsChild>
            <w:div w:id="1455295157">
              <w:marLeft w:val="0"/>
              <w:marRight w:val="0"/>
              <w:marTop w:val="100"/>
              <w:marBottom w:val="100"/>
              <w:divBdr>
                <w:top w:val="none" w:sz="0" w:space="0" w:color="auto"/>
                <w:left w:val="none" w:sz="0" w:space="0" w:color="auto"/>
                <w:bottom w:val="none" w:sz="0" w:space="0" w:color="auto"/>
                <w:right w:val="none" w:sz="0" w:space="0" w:color="auto"/>
              </w:divBdr>
              <w:divsChild>
                <w:div w:id="1599869769">
                  <w:marLeft w:val="0"/>
                  <w:marRight w:val="0"/>
                  <w:marTop w:val="0"/>
                  <w:marBottom w:val="0"/>
                  <w:divBdr>
                    <w:top w:val="single" w:sz="6" w:space="0" w:color="600000"/>
                    <w:left w:val="single" w:sz="6" w:space="0" w:color="600000"/>
                    <w:bottom w:val="single" w:sz="6" w:space="0" w:color="600000"/>
                    <w:right w:val="single" w:sz="6" w:space="0" w:color="600000"/>
                  </w:divBdr>
                  <w:divsChild>
                    <w:div w:id="1880049671">
                      <w:marLeft w:val="0"/>
                      <w:marRight w:val="0"/>
                      <w:marTop w:val="0"/>
                      <w:marBottom w:val="0"/>
                      <w:divBdr>
                        <w:top w:val="none" w:sz="0" w:space="0" w:color="auto"/>
                        <w:left w:val="none" w:sz="0" w:space="0" w:color="auto"/>
                        <w:bottom w:val="none" w:sz="0" w:space="0" w:color="auto"/>
                        <w:right w:val="none" w:sz="0" w:space="0" w:color="auto"/>
                      </w:divBdr>
                      <w:divsChild>
                        <w:div w:id="5638811">
                          <w:marLeft w:val="0"/>
                          <w:marRight w:val="0"/>
                          <w:marTop w:val="300"/>
                          <w:marBottom w:val="0"/>
                          <w:divBdr>
                            <w:top w:val="none" w:sz="0" w:space="0" w:color="auto"/>
                            <w:left w:val="none" w:sz="0" w:space="0" w:color="auto"/>
                            <w:bottom w:val="none" w:sz="0" w:space="0" w:color="auto"/>
                            <w:right w:val="none" w:sz="0" w:space="0" w:color="auto"/>
                          </w:divBdr>
                          <w:divsChild>
                            <w:div w:id="673071495">
                              <w:marLeft w:val="0"/>
                              <w:marRight w:val="0"/>
                              <w:marTop w:val="0"/>
                              <w:marBottom w:val="0"/>
                              <w:divBdr>
                                <w:top w:val="none" w:sz="0" w:space="0" w:color="auto"/>
                                <w:left w:val="none" w:sz="0" w:space="0" w:color="auto"/>
                                <w:bottom w:val="none" w:sz="0" w:space="0" w:color="auto"/>
                                <w:right w:val="none" w:sz="0" w:space="0" w:color="auto"/>
                              </w:divBdr>
                              <w:divsChild>
                                <w:div w:id="2102949901">
                                  <w:marLeft w:val="0"/>
                                  <w:marRight w:val="0"/>
                                  <w:marTop w:val="0"/>
                                  <w:marBottom w:val="0"/>
                                  <w:divBdr>
                                    <w:top w:val="none" w:sz="0" w:space="0" w:color="auto"/>
                                    <w:left w:val="none" w:sz="0" w:space="0" w:color="auto"/>
                                    <w:bottom w:val="none" w:sz="0" w:space="0" w:color="auto"/>
                                    <w:right w:val="none" w:sz="0" w:space="0" w:color="auto"/>
                                  </w:divBdr>
                                  <w:divsChild>
                                    <w:div w:id="11457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131702">
      <w:bodyDiv w:val="1"/>
      <w:marLeft w:val="0"/>
      <w:marRight w:val="0"/>
      <w:marTop w:val="0"/>
      <w:marBottom w:val="0"/>
      <w:divBdr>
        <w:top w:val="none" w:sz="0" w:space="0" w:color="auto"/>
        <w:left w:val="none" w:sz="0" w:space="0" w:color="auto"/>
        <w:bottom w:val="none" w:sz="0" w:space="0" w:color="auto"/>
        <w:right w:val="none" w:sz="0" w:space="0" w:color="auto"/>
      </w:divBdr>
    </w:div>
    <w:div w:id="2133556125">
      <w:bodyDiv w:val="1"/>
      <w:marLeft w:val="0"/>
      <w:marRight w:val="0"/>
      <w:marTop w:val="0"/>
      <w:marBottom w:val="0"/>
      <w:divBdr>
        <w:top w:val="none" w:sz="0" w:space="0" w:color="auto"/>
        <w:left w:val="none" w:sz="0" w:space="0" w:color="auto"/>
        <w:bottom w:val="none" w:sz="0" w:space="0" w:color="auto"/>
        <w:right w:val="none" w:sz="0" w:space="0" w:color="auto"/>
      </w:divBdr>
    </w:div>
    <w:div w:id="2137411916">
      <w:bodyDiv w:val="1"/>
      <w:marLeft w:val="0"/>
      <w:marRight w:val="0"/>
      <w:marTop w:val="0"/>
      <w:marBottom w:val="0"/>
      <w:divBdr>
        <w:top w:val="none" w:sz="0" w:space="0" w:color="auto"/>
        <w:left w:val="none" w:sz="0" w:space="0" w:color="auto"/>
        <w:bottom w:val="none" w:sz="0" w:space="0" w:color="auto"/>
        <w:right w:val="none" w:sz="0" w:space="0" w:color="auto"/>
      </w:divBdr>
    </w:div>
    <w:div w:id="2140680915">
      <w:bodyDiv w:val="1"/>
      <w:marLeft w:val="0"/>
      <w:marRight w:val="0"/>
      <w:marTop w:val="0"/>
      <w:marBottom w:val="0"/>
      <w:divBdr>
        <w:top w:val="none" w:sz="0" w:space="0" w:color="auto"/>
        <w:left w:val="none" w:sz="0" w:space="0" w:color="auto"/>
        <w:bottom w:val="none" w:sz="0" w:space="0" w:color="auto"/>
        <w:right w:val="none" w:sz="0" w:space="0" w:color="auto"/>
      </w:divBdr>
    </w:div>
    <w:div w:id="2141461804">
      <w:bodyDiv w:val="1"/>
      <w:marLeft w:val="0"/>
      <w:marRight w:val="0"/>
      <w:marTop w:val="0"/>
      <w:marBottom w:val="0"/>
      <w:divBdr>
        <w:top w:val="none" w:sz="0" w:space="0" w:color="auto"/>
        <w:left w:val="none" w:sz="0" w:space="0" w:color="auto"/>
        <w:bottom w:val="none" w:sz="0" w:space="0" w:color="auto"/>
        <w:right w:val="none" w:sz="0" w:space="0" w:color="auto"/>
      </w:divBdr>
    </w:div>
    <w:div w:id="21457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go.abogacia.es%2Flnk%2FAWkAAI2dTv0AAc4dfgIAABYpKFAAAAAA0zoAAKFjABi_EgBpbzypRY-WBamqSdSNfwcO5ObzfQAYIRA%2F4%2FDRegv2OQvgK647MVCXZoxA%2FaHR0cHM6Ly93d3cuYm9lLmVzL2JvZS9kaWFzLzIwMjYvMDEvMjAvcGRmcy9CT0UtQS0yMDI2LTEyNTgucGRmP3V0bV9jYW1wYWlnbj1MZWdpc2xhY2klQzMlQjNuJTIwRGlhcmlhJTIwMjAlMjBkZSUyMEVuZXJvJTIwZGUlMjAyMDI2JnV0bV9tZWRpdW09ZW1haWwmdXRtX3NvdXJjZT1NYWlsamV0&amp;data=05%7C02%7Cbrabadan%40fundaciononce.es%7Cc98710df711e4292c54708de6f9c9364%7Cbab5b22cd82b452e9cad04f9708f4bbd%7C0%7C0%7C639070915509899574%7CUnknown%7CTWFpbGZsb3d8eyJFbXB0eU1hcGkiOnRydWUsIlYiOiIwLjAuMDAwMCIsIlAiOiJXaW4zMiIsIkFOIjoiTWFpbCIsIldUIjoyfQ%3D%3D%7C0%7C%7C%7C&amp;sdata=6i%2B%2BMpzOOtM%2FluBrPlbPPJYif19MBue7Q84O30aTA4U%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deb06c-71ac-4e50-899a-b3276979511c">
      <Terms xmlns="http://schemas.microsoft.com/office/infopath/2007/PartnerControls"/>
    </lcf76f155ced4ddcb4097134ff3c332f>
    <TaxCatchAll xmlns="6c46f174-9a03-4b5a-b33e-f5d3f0c0e26b"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24DBD96930F154A88905B396281EA6A" ma:contentTypeVersion="18" ma:contentTypeDescription="Crear nuevo documento." ma:contentTypeScope="" ma:versionID="3ab7d1eca547fd40e3edf8a86db55d2c">
  <xsd:schema xmlns:xsd="http://www.w3.org/2001/XMLSchema" xmlns:xs="http://www.w3.org/2001/XMLSchema" xmlns:p="http://schemas.microsoft.com/office/2006/metadata/properties" xmlns:ns1="http://schemas.microsoft.com/sharepoint/v3" xmlns:ns2="7edeb06c-71ac-4e50-899a-b3276979511c" xmlns:ns3="6c46f174-9a03-4b5a-b33e-f5d3f0c0e26b" targetNamespace="http://schemas.microsoft.com/office/2006/metadata/properties" ma:root="true" ma:fieldsID="25c02f43aa621e5f912c79957d945aab" ns1:_="" ns2:_="" ns3:_="">
    <xsd:import namespace="http://schemas.microsoft.com/sharepoint/v3"/>
    <xsd:import namespace="7edeb06c-71ac-4e50-899a-b3276979511c"/>
    <xsd:import namespace="6c46f174-9a03-4b5a-b33e-f5d3f0c0e2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eb06c-71ac-4e50-899a-b32769795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6f174-9a03-4b5a-b33e-f5d3f0c0e26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6d2256b2-9081-4b44-b47f-783d33b4ea9f}" ma:internalName="TaxCatchAll" ma:showField="CatchAllData" ma:web="6c46f174-9a03-4b5a-b33e-f5d3f0c0e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AD8DA-CD5F-4176-9BEE-9AE090FFFA0A}">
  <ds:schemaRefs>
    <ds:schemaRef ds:uri="http://schemas.microsoft.com/sharepoint/v3/contenttype/forms"/>
  </ds:schemaRefs>
</ds:datastoreItem>
</file>

<file path=customXml/itemProps2.xml><?xml version="1.0" encoding="utf-8"?>
<ds:datastoreItem xmlns:ds="http://schemas.openxmlformats.org/officeDocument/2006/customXml" ds:itemID="{06EC14E7-7EB4-4888-8458-035D64BCBE9D}">
  <ds:schemaRefs>
    <ds:schemaRef ds:uri="http://schemas.openxmlformats.org/officeDocument/2006/bibliography"/>
  </ds:schemaRefs>
</ds:datastoreItem>
</file>

<file path=customXml/itemProps3.xml><?xml version="1.0" encoding="utf-8"?>
<ds:datastoreItem xmlns:ds="http://schemas.openxmlformats.org/officeDocument/2006/customXml" ds:itemID="{3EAE85F8-1B57-46AA-8998-DBA693DDCDBF}">
  <ds:schemaRefs>
    <ds:schemaRef ds:uri="http://schemas.microsoft.com/office/2006/metadata/properties"/>
    <ds:schemaRef ds:uri="http://schemas.microsoft.com/office/infopath/2007/PartnerControls"/>
    <ds:schemaRef ds:uri="http://schemas.microsoft.com/sharepoint/v3"/>
    <ds:schemaRef ds:uri="7edeb06c-71ac-4e50-899a-b3276979511c"/>
    <ds:schemaRef ds:uri="6c46f174-9a03-4b5a-b33e-f5d3f0c0e26b"/>
  </ds:schemaRefs>
</ds:datastoreItem>
</file>

<file path=customXml/itemProps4.xml><?xml version="1.0" encoding="utf-8"?>
<ds:datastoreItem xmlns:ds="http://schemas.openxmlformats.org/officeDocument/2006/customXml" ds:itemID="{42D90F63-F223-48C8-B3A0-99A06F83F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deb06c-71ac-4e50-899a-b3276979511c"/>
    <ds:schemaRef ds:uri="6c46f174-9a03-4b5a-b33e-f5d3f0c0e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37</Pages>
  <Words>13835</Words>
  <Characters>76093</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89749</CharactersWithSpaces>
  <SharedDoc>false</SharedDoc>
  <HLinks>
    <vt:vector size="6" baseType="variant">
      <vt:variant>
        <vt:i4>3670084</vt:i4>
      </vt:variant>
      <vt:variant>
        <vt:i4>0</vt:i4>
      </vt:variant>
      <vt:variant>
        <vt:i4>0</vt:i4>
      </vt:variant>
      <vt:variant>
        <vt:i4>5</vt:i4>
      </vt:variant>
      <vt:variant>
        <vt:lpwstr>https://eur03.safelinks.protection.outlook.com/?url=https%3A%2F%2Fgo.abogacia.es%2Flnk%2FAWkAAI2dTv0AAc4dfgIAABYpKFAAAAAA0zoAAKFjABi_EgBpbzypRY-WBamqSdSNfwcO5ObzfQAYIRA%2F4%2FDRegv2OQvgK647MVCXZoxA%2FaHR0cHM6Ly93d3cuYm9lLmVzL2JvZS9kaWFzLzIwMjYvMDEvMjAvcGRmcy9CT0UtQS0yMDI2LTEyNTgucGRmP3V0bV9jYW1wYWlnbj1MZWdpc2xhY2klQzMlQjNuJTIwRGlhcmlhJTIwMjAlMjBkZSUyMEVuZXJvJTIwZGUlMjAyMDI2JnV0bV9tZWRpdW09ZW1haWwmdXRtX3NvdXJjZT1NYWlsamV0&amp;data=05%7C02%7Cbrabadan%40fundaciononce.es%7Cc98710df711e4292c54708de6f9c9364%7Cbab5b22cd82b452e9cad04f9708f4bbd%7C0%7C0%7C639070915509899574%7CUnknown%7CTWFpbGZsb3d8eyJFbXB0eU1hcGkiOnRydWUsIlYiOiIwLjAuMDAwMCIsIlAiOiJXaW4zMiIsIkFOIjoiTWFpbCIsIldUIjoyfQ%3D%3D%7C0%7C%7C%7C&amp;sdata=6i%2B%2BMpzOOtM%2FluBrPlbPPJYif19MBue7Q84O30aTA4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 Carmona, Lucía</dc:creator>
  <cp:keywords/>
  <dc:description/>
  <cp:lastModifiedBy>Dufresne, Guillaume</cp:lastModifiedBy>
  <cp:revision>26</cp:revision>
  <dcterms:created xsi:type="dcterms:W3CDTF">2026-06-30T09:08:00Z</dcterms:created>
  <dcterms:modified xsi:type="dcterms:W3CDTF">2026-06-30T11:40:00Z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0x010100C24DBD96930F154A88905B396281EA6A</vt:lpwstr>
  </property>
  <property fmtid="{D5CDD505-2E9C-101B-9397-08002B2CF9AE}" pid="4" name="ClassificationContentMarkingFooterShapeIds">
    <vt:lpwstr>39d597ba,40fa2cc4,6f6454ed</vt:lpwstr>
  </property>
  <property fmtid="{D5CDD505-2E9C-101B-9397-08002B2CF9AE}" pid="5" name="ClassificationContentMarkingFooterFontProps">
    <vt:lpwstr>#000000,10,Aptos</vt:lpwstr>
  </property>
  <property fmtid="{D5CDD505-2E9C-101B-9397-08002B2CF9AE}" pid="6" name="ClassificationContentMarkingFooterText">
    <vt:lpwstr>Clasificación: Interna</vt:lpwstr>
  </property>
</Properties>
</file>