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1E" w:rsidRDefault="00E8581E" w:rsidP="00E8581E">
      <w:bookmarkStart w:id="0" w:name="_GoBack"/>
      <w:bookmarkEnd w:id="0"/>
    </w:p>
    <w:p w:rsidR="00E8581E" w:rsidRDefault="00E8581E" w:rsidP="00E8581E"/>
    <w:p w:rsidR="00E8581E" w:rsidRDefault="00E8581E" w:rsidP="00E8581E">
      <w:pPr>
        <w:pStyle w:val="Piedepgina"/>
        <w:tabs>
          <w:tab w:val="clear" w:pos="4252"/>
          <w:tab w:val="clear" w:pos="8504"/>
        </w:tabs>
      </w:pPr>
    </w:p>
    <w:p w:rsidR="00E8581E" w:rsidRDefault="00E8581E" w:rsidP="006064D5">
      <w:pPr>
        <w:pBdr>
          <w:top w:val="double" w:sz="4" w:space="31" w:color="auto"/>
          <w:left w:val="double" w:sz="4" w:space="4" w:color="auto"/>
          <w:bottom w:val="double" w:sz="4" w:space="1" w:color="auto"/>
          <w:right w:val="double" w:sz="4" w:space="4" w:color="auto"/>
        </w:pBdr>
      </w:pPr>
    </w:p>
    <w:p w:rsidR="00E8581E" w:rsidRDefault="00E8581E" w:rsidP="006064D5">
      <w:pPr>
        <w:pBdr>
          <w:top w:val="double" w:sz="4" w:space="31" w:color="auto"/>
          <w:left w:val="double" w:sz="4" w:space="4" w:color="auto"/>
          <w:bottom w:val="double" w:sz="4" w:space="1" w:color="auto"/>
          <w:right w:val="double" w:sz="4" w:space="4" w:color="auto"/>
        </w:pBdr>
      </w:pPr>
    </w:p>
    <w:p w:rsidR="00E8581E" w:rsidRDefault="00E8581E" w:rsidP="006064D5">
      <w:pPr>
        <w:pBdr>
          <w:top w:val="double" w:sz="4" w:space="31" w:color="auto"/>
          <w:left w:val="double" w:sz="4" w:space="4" w:color="auto"/>
          <w:bottom w:val="double" w:sz="4" w:space="1" w:color="auto"/>
          <w:right w:val="double" w:sz="4" w:space="4" w:color="auto"/>
        </w:pBdr>
      </w:pPr>
    </w:p>
    <w:p w:rsidR="00E8581E" w:rsidRPr="00BF7448" w:rsidRDefault="00E8581E" w:rsidP="006064D5">
      <w:pPr>
        <w:pBdr>
          <w:top w:val="double" w:sz="4" w:space="31" w:color="auto"/>
          <w:left w:val="double" w:sz="4" w:space="4" w:color="auto"/>
          <w:bottom w:val="double" w:sz="4" w:space="1" w:color="auto"/>
          <w:right w:val="double" w:sz="4" w:space="4" w:color="auto"/>
        </w:pBdr>
        <w:jc w:val="center"/>
        <w:rPr>
          <w:b/>
          <w:color w:val="016FB8"/>
          <w:sz w:val="96"/>
          <w:szCs w:val="96"/>
        </w:rPr>
      </w:pPr>
      <w:r w:rsidRPr="00BF7448">
        <w:rPr>
          <w:b/>
          <w:color w:val="016FB8"/>
          <w:sz w:val="96"/>
          <w:szCs w:val="96"/>
        </w:rPr>
        <w:t>Plan de Actuación</w:t>
      </w:r>
    </w:p>
    <w:p w:rsidR="00E8581E" w:rsidRPr="00BF7448" w:rsidRDefault="00E8581E" w:rsidP="006064D5">
      <w:pPr>
        <w:pBdr>
          <w:top w:val="double" w:sz="4" w:space="31" w:color="auto"/>
          <w:left w:val="double" w:sz="4" w:space="4" w:color="auto"/>
          <w:bottom w:val="double" w:sz="4" w:space="1" w:color="auto"/>
          <w:right w:val="double" w:sz="4" w:space="4" w:color="auto"/>
        </w:pBdr>
        <w:jc w:val="center"/>
        <w:rPr>
          <w:b/>
          <w:color w:val="016FB8"/>
          <w:sz w:val="96"/>
          <w:szCs w:val="96"/>
        </w:rPr>
      </w:pPr>
    </w:p>
    <w:p w:rsidR="00E8581E" w:rsidRPr="00BF7448" w:rsidRDefault="00B40493" w:rsidP="006064D5">
      <w:pPr>
        <w:pBdr>
          <w:top w:val="double" w:sz="4" w:space="31" w:color="auto"/>
          <w:left w:val="double" w:sz="4" w:space="4" w:color="auto"/>
          <w:bottom w:val="double" w:sz="4" w:space="1" w:color="auto"/>
          <w:right w:val="double" w:sz="4" w:space="4" w:color="auto"/>
        </w:pBdr>
        <w:jc w:val="center"/>
        <w:rPr>
          <w:b/>
          <w:color w:val="016FB8"/>
          <w:sz w:val="96"/>
          <w:szCs w:val="96"/>
        </w:rPr>
      </w:pPr>
      <w:r w:rsidRPr="00BF7448">
        <w:rPr>
          <w:b/>
          <w:color w:val="016FB8"/>
          <w:sz w:val="96"/>
          <w:szCs w:val="96"/>
        </w:rPr>
        <w:t>Año 2</w:t>
      </w:r>
      <w:r w:rsidR="00283BE8" w:rsidRPr="00BF7448">
        <w:rPr>
          <w:b/>
          <w:color w:val="016FB8"/>
          <w:sz w:val="96"/>
          <w:szCs w:val="96"/>
        </w:rPr>
        <w:t>01</w:t>
      </w:r>
      <w:r w:rsidR="00BC5817" w:rsidRPr="00BF7448">
        <w:rPr>
          <w:b/>
          <w:color w:val="016FB8"/>
          <w:sz w:val="96"/>
          <w:szCs w:val="96"/>
        </w:rPr>
        <w:t>5</w:t>
      </w:r>
    </w:p>
    <w:p w:rsidR="00E8581E" w:rsidRPr="00BF7448" w:rsidRDefault="00E8581E" w:rsidP="006064D5">
      <w:pPr>
        <w:pBdr>
          <w:top w:val="double" w:sz="4" w:space="31" w:color="auto"/>
          <w:left w:val="double" w:sz="4" w:space="4" w:color="auto"/>
          <w:bottom w:val="double" w:sz="4" w:space="1" w:color="auto"/>
          <w:right w:val="double" w:sz="4" w:space="4" w:color="auto"/>
        </w:pBdr>
        <w:rPr>
          <w:color w:val="016FB8"/>
        </w:rPr>
      </w:pPr>
    </w:p>
    <w:p w:rsidR="00E8581E" w:rsidRPr="00BF7448" w:rsidRDefault="00E8581E" w:rsidP="006064D5">
      <w:pPr>
        <w:pBdr>
          <w:top w:val="double" w:sz="4" w:space="31" w:color="auto"/>
          <w:left w:val="double" w:sz="4" w:space="4" w:color="auto"/>
          <w:bottom w:val="double" w:sz="4" w:space="1" w:color="auto"/>
          <w:right w:val="double" w:sz="4" w:space="4" w:color="auto"/>
        </w:pBdr>
        <w:jc w:val="center"/>
        <w:rPr>
          <w:color w:val="016FB8"/>
          <w:sz w:val="56"/>
        </w:rPr>
      </w:pPr>
    </w:p>
    <w:p w:rsidR="00E8581E" w:rsidRPr="00AA48D3" w:rsidRDefault="00AA48D3" w:rsidP="006064D5">
      <w:pPr>
        <w:pBdr>
          <w:top w:val="double" w:sz="4" w:space="31" w:color="auto"/>
          <w:left w:val="double" w:sz="4" w:space="4" w:color="auto"/>
          <w:bottom w:val="double" w:sz="4" w:space="1" w:color="auto"/>
          <w:right w:val="double" w:sz="4" w:space="4" w:color="auto"/>
        </w:pBdr>
        <w:jc w:val="center"/>
        <w:rPr>
          <w:b/>
          <w:color w:val="016FB8"/>
          <w:sz w:val="96"/>
          <w:szCs w:val="96"/>
        </w:rPr>
      </w:pPr>
      <w:r>
        <w:rPr>
          <w:b/>
          <w:color w:val="016FB8"/>
          <w:sz w:val="96"/>
          <w:szCs w:val="96"/>
        </w:rPr>
        <w:t>GRUPO FUNDOSA</w:t>
      </w:r>
    </w:p>
    <w:p w:rsidR="00E8581E" w:rsidRDefault="00E8581E" w:rsidP="006064D5">
      <w:pPr>
        <w:pBdr>
          <w:top w:val="double" w:sz="4" w:space="31" w:color="auto"/>
          <w:left w:val="double" w:sz="4" w:space="4" w:color="auto"/>
          <w:bottom w:val="double" w:sz="4" w:space="1" w:color="auto"/>
          <w:right w:val="double" w:sz="4" w:space="4" w:color="auto"/>
        </w:pBdr>
        <w:jc w:val="center"/>
        <w:rPr>
          <w:sz w:val="56"/>
        </w:rPr>
      </w:pPr>
    </w:p>
    <w:p w:rsidR="00E8581E" w:rsidRDefault="00E8581E" w:rsidP="006064D5">
      <w:pPr>
        <w:pBdr>
          <w:top w:val="double" w:sz="4" w:space="31" w:color="auto"/>
          <w:left w:val="double" w:sz="4" w:space="4" w:color="auto"/>
          <w:bottom w:val="double" w:sz="4" w:space="1" w:color="auto"/>
          <w:right w:val="double" w:sz="4" w:space="4" w:color="auto"/>
        </w:pBdr>
        <w:jc w:val="center"/>
        <w:rPr>
          <w:sz w:val="56"/>
        </w:rPr>
      </w:pPr>
    </w:p>
    <w:p w:rsidR="00E8581E" w:rsidRDefault="00E8581E" w:rsidP="00E8581E">
      <w:pPr>
        <w:jc w:val="center"/>
        <w:rPr>
          <w:b/>
          <w:sz w:val="32"/>
        </w:rPr>
      </w:pPr>
    </w:p>
    <w:p w:rsidR="00E8581E" w:rsidRDefault="00E8581E" w:rsidP="00E8581E">
      <w:pPr>
        <w:jc w:val="center"/>
        <w:rPr>
          <w:b/>
          <w:sz w:val="32"/>
        </w:rPr>
      </w:pPr>
    </w:p>
    <w:p w:rsidR="00E8581E" w:rsidRDefault="00E8581E" w:rsidP="00E8581E">
      <w:pPr>
        <w:jc w:val="center"/>
        <w:rPr>
          <w:b/>
          <w:sz w:val="32"/>
        </w:rPr>
      </w:pPr>
    </w:p>
    <w:p w:rsidR="00E8581E" w:rsidRDefault="00E8581E" w:rsidP="00E8581E">
      <w:pPr>
        <w:jc w:val="center"/>
        <w:rPr>
          <w:b/>
          <w:sz w:val="32"/>
        </w:rPr>
      </w:pPr>
    </w:p>
    <w:p w:rsidR="00E8581E" w:rsidRDefault="00E8581E" w:rsidP="00E8581E">
      <w:pPr>
        <w:jc w:val="center"/>
        <w:rPr>
          <w:b/>
          <w:sz w:val="32"/>
        </w:rPr>
      </w:pPr>
    </w:p>
    <w:p w:rsidR="00E8581E" w:rsidRPr="00BF7448" w:rsidRDefault="003A02AC" w:rsidP="00DA52E7">
      <w:pPr>
        <w:pStyle w:val="Ttulo8"/>
        <w:jc w:val="center"/>
        <w:rPr>
          <w:color w:val="016FB8"/>
          <w:u w:val="single"/>
        </w:rPr>
      </w:pPr>
      <w:bookmarkStart w:id="1" w:name="_Toc213647528"/>
      <w:r>
        <w:rPr>
          <w:color w:val="005C54"/>
          <w:u w:val="single"/>
        </w:rPr>
        <w:br w:type="page"/>
      </w:r>
      <w:r w:rsidR="00D52BCF" w:rsidRPr="00BF7448">
        <w:rPr>
          <w:color w:val="016FB8"/>
          <w:u w:val="single"/>
        </w:rPr>
        <w:lastRenderedPageBreak/>
        <w:t>Í</w:t>
      </w:r>
      <w:r w:rsidR="00E8581E" w:rsidRPr="00BF7448">
        <w:rPr>
          <w:color w:val="016FB8"/>
          <w:u w:val="single"/>
        </w:rPr>
        <w:t>NDICE</w:t>
      </w:r>
      <w:bookmarkEnd w:id="1"/>
    </w:p>
    <w:p w:rsidR="00DA52E7" w:rsidRDefault="00DA52E7" w:rsidP="00E67EEB">
      <w:pPr>
        <w:jc w:val="both"/>
      </w:pPr>
    </w:p>
    <w:p w:rsidR="007A17B1" w:rsidRDefault="004F64D4">
      <w:pPr>
        <w:pStyle w:val="TDC1"/>
        <w:rPr>
          <w:rFonts w:asciiTheme="minorHAnsi" w:eastAsiaTheme="minorEastAsia" w:hAnsiTheme="minorHAnsi" w:cstheme="minorBidi"/>
          <w:b w:val="0"/>
          <w:color w:val="auto"/>
          <w:sz w:val="22"/>
          <w:szCs w:val="22"/>
          <w:lang w:val="es-ES"/>
        </w:rPr>
      </w:pPr>
      <w:r>
        <w:rPr>
          <w:rFonts w:cs="Arial"/>
          <w:szCs w:val="24"/>
        </w:rPr>
        <w:fldChar w:fldCharType="begin"/>
      </w:r>
      <w:r w:rsidR="00BF7099">
        <w:rPr>
          <w:rFonts w:cs="Arial"/>
          <w:szCs w:val="24"/>
        </w:rPr>
        <w:instrText xml:space="preserve"> TOC \o "1-3" \h \z \u </w:instrText>
      </w:r>
      <w:r>
        <w:rPr>
          <w:rFonts w:cs="Arial"/>
          <w:szCs w:val="24"/>
        </w:rPr>
        <w:fldChar w:fldCharType="separate"/>
      </w:r>
      <w:hyperlink w:anchor="_Toc403984295" w:history="1">
        <w:r w:rsidR="007A17B1" w:rsidRPr="00C071CE">
          <w:rPr>
            <w:rStyle w:val="Hipervnculo"/>
          </w:rPr>
          <w:t>1.</w:t>
        </w:r>
        <w:r w:rsidR="007A17B1">
          <w:rPr>
            <w:rFonts w:asciiTheme="minorHAnsi" w:eastAsiaTheme="minorEastAsia" w:hAnsiTheme="minorHAnsi" w:cstheme="minorBidi"/>
            <w:b w:val="0"/>
            <w:color w:val="auto"/>
            <w:sz w:val="22"/>
            <w:szCs w:val="22"/>
            <w:lang w:val="es-ES"/>
          </w:rPr>
          <w:tab/>
        </w:r>
        <w:r w:rsidR="007A17B1" w:rsidRPr="00C071CE">
          <w:rPr>
            <w:rStyle w:val="Hipervnculo"/>
          </w:rPr>
          <w:t>INTRODUCCIÓN</w:t>
        </w:r>
        <w:r w:rsidR="007A17B1">
          <w:rPr>
            <w:webHidden/>
          </w:rPr>
          <w:tab/>
        </w:r>
        <w:r>
          <w:rPr>
            <w:webHidden/>
          </w:rPr>
          <w:fldChar w:fldCharType="begin"/>
        </w:r>
        <w:r w:rsidR="007A17B1">
          <w:rPr>
            <w:webHidden/>
          </w:rPr>
          <w:instrText xml:space="preserve"> PAGEREF _Toc403984295 \h </w:instrText>
        </w:r>
        <w:r>
          <w:rPr>
            <w:webHidden/>
          </w:rPr>
        </w:r>
        <w:r>
          <w:rPr>
            <w:webHidden/>
          </w:rPr>
          <w:fldChar w:fldCharType="separate"/>
        </w:r>
        <w:r w:rsidR="005D4012">
          <w:rPr>
            <w:webHidden/>
          </w:rPr>
          <w:t>3</w:t>
        </w:r>
        <w:r>
          <w:rPr>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296" w:history="1">
        <w:r w:rsidR="007A17B1" w:rsidRPr="00C071CE">
          <w:rPr>
            <w:rStyle w:val="Hipervnculo"/>
            <w:noProof/>
          </w:rPr>
          <w:t>a)</w:t>
        </w:r>
        <w:r w:rsidR="007A17B1">
          <w:rPr>
            <w:rFonts w:asciiTheme="minorHAnsi" w:eastAsiaTheme="minorEastAsia" w:hAnsiTheme="minorHAnsi" w:cstheme="minorBidi"/>
            <w:noProof/>
            <w:sz w:val="22"/>
            <w:szCs w:val="22"/>
            <w:lang w:val="es-ES"/>
          </w:rPr>
          <w:tab/>
        </w:r>
        <w:r w:rsidR="007A17B1" w:rsidRPr="00C071CE">
          <w:rPr>
            <w:rStyle w:val="Hipervnculo"/>
            <w:noProof/>
          </w:rPr>
          <w:t>Definición del Plan de Actuación</w:t>
        </w:r>
        <w:r w:rsidR="007A17B1">
          <w:rPr>
            <w:noProof/>
            <w:webHidden/>
          </w:rPr>
          <w:tab/>
        </w:r>
        <w:r w:rsidR="004F64D4">
          <w:rPr>
            <w:noProof/>
            <w:webHidden/>
          </w:rPr>
          <w:fldChar w:fldCharType="begin"/>
        </w:r>
        <w:r w:rsidR="007A17B1">
          <w:rPr>
            <w:noProof/>
            <w:webHidden/>
          </w:rPr>
          <w:instrText xml:space="preserve"> PAGEREF _Toc403984296 \h </w:instrText>
        </w:r>
        <w:r w:rsidR="004F64D4">
          <w:rPr>
            <w:noProof/>
            <w:webHidden/>
          </w:rPr>
        </w:r>
        <w:r w:rsidR="004F64D4">
          <w:rPr>
            <w:noProof/>
            <w:webHidden/>
          </w:rPr>
          <w:fldChar w:fldCharType="separate"/>
        </w:r>
        <w:r>
          <w:rPr>
            <w:noProof/>
            <w:webHidden/>
          </w:rPr>
          <w:t>3</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297" w:history="1">
        <w:r w:rsidR="007A17B1" w:rsidRPr="00C071CE">
          <w:rPr>
            <w:rStyle w:val="Hipervnculo"/>
            <w:noProof/>
          </w:rPr>
          <w:t>b)</w:t>
        </w:r>
        <w:r w:rsidR="007A17B1">
          <w:rPr>
            <w:rFonts w:asciiTheme="minorHAnsi" w:eastAsiaTheme="minorEastAsia" w:hAnsiTheme="minorHAnsi" w:cstheme="minorBidi"/>
            <w:noProof/>
            <w:sz w:val="22"/>
            <w:szCs w:val="22"/>
            <w:lang w:val="es-ES"/>
          </w:rPr>
          <w:tab/>
        </w:r>
        <w:r w:rsidR="007A17B1" w:rsidRPr="00C071CE">
          <w:rPr>
            <w:rStyle w:val="Hipervnculo"/>
            <w:noProof/>
          </w:rPr>
          <w:t>Criterios</w:t>
        </w:r>
        <w:r w:rsidR="007A17B1">
          <w:rPr>
            <w:noProof/>
            <w:webHidden/>
          </w:rPr>
          <w:tab/>
        </w:r>
        <w:r w:rsidR="004F64D4">
          <w:rPr>
            <w:noProof/>
            <w:webHidden/>
          </w:rPr>
          <w:fldChar w:fldCharType="begin"/>
        </w:r>
        <w:r w:rsidR="007A17B1">
          <w:rPr>
            <w:noProof/>
            <w:webHidden/>
          </w:rPr>
          <w:instrText xml:space="preserve"> PAGEREF _Toc403984297 \h </w:instrText>
        </w:r>
        <w:r w:rsidR="004F64D4">
          <w:rPr>
            <w:noProof/>
            <w:webHidden/>
          </w:rPr>
        </w:r>
        <w:r w:rsidR="004F64D4">
          <w:rPr>
            <w:noProof/>
            <w:webHidden/>
          </w:rPr>
          <w:fldChar w:fldCharType="separate"/>
        </w:r>
        <w:r>
          <w:rPr>
            <w:noProof/>
            <w:webHidden/>
          </w:rPr>
          <w:t>3</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298" w:history="1">
        <w:r w:rsidR="007A17B1" w:rsidRPr="00C071CE">
          <w:rPr>
            <w:rStyle w:val="Hipervnculo"/>
            <w:noProof/>
          </w:rPr>
          <w:t>c)</w:t>
        </w:r>
        <w:r w:rsidR="007A17B1">
          <w:rPr>
            <w:rFonts w:asciiTheme="minorHAnsi" w:eastAsiaTheme="minorEastAsia" w:hAnsiTheme="minorHAnsi" w:cstheme="minorBidi"/>
            <w:noProof/>
            <w:sz w:val="22"/>
            <w:szCs w:val="22"/>
            <w:lang w:val="es-ES"/>
          </w:rPr>
          <w:tab/>
        </w:r>
        <w:r w:rsidR="007A17B1" w:rsidRPr="00C071CE">
          <w:rPr>
            <w:rStyle w:val="Hipervnculo"/>
            <w:noProof/>
          </w:rPr>
          <w:t>Perímetro empresarial</w:t>
        </w:r>
        <w:r w:rsidR="007A17B1">
          <w:rPr>
            <w:noProof/>
            <w:webHidden/>
          </w:rPr>
          <w:tab/>
        </w:r>
        <w:r w:rsidR="004F64D4">
          <w:rPr>
            <w:noProof/>
            <w:webHidden/>
          </w:rPr>
          <w:fldChar w:fldCharType="begin"/>
        </w:r>
        <w:r w:rsidR="007A17B1">
          <w:rPr>
            <w:noProof/>
            <w:webHidden/>
          </w:rPr>
          <w:instrText xml:space="preserve"> PAGEREF _Toc403984298 \h </w:instrText>
        </w:r>
        <w:r w:rsidR="004F64D4">
          <w:rPr>
            <w:noProof/>
            <w:webHidden/>
          </w:rPr>
        </w:r>
        <w:r w:rsidR="004F64D4">
          <w:rPr>
            <w:noProof/>
            <w:webHidden/>
          </w:rPr>
          <w:fldChar w:fldCharType="separate"/>
        </w:r>
        <w:r>
          <w:rPr>
            <w:noProof/>
            <w:webHidden/>
          </w:rPr>
          <w:t>4</w:t>
        </w:r>
        <w:r w:rsidR="004F64D4">
          <w:rPr>
            <w:noProof/>
            <w:webHidden/>
          </w:rPr>
          <w:fldChar w:fldCharType="end"/>
        </w:r>
      </w:hyperlink>
    </w:p>
    <w:p w:rsidR="007A17B1" w:rsidRDefault="005D4012">
      <w:pPr>
        <w:pStyle w:val="TDC1"/>
        <w:rPr>
          <w:rFonts w:asciiTheme="minorHAnsi" w:eastAsiaTheme="minorEastAsia" w:hAnsiTheme="minorHAnsi" w:cstheme="minorBidi"/>
          <w:b w:val="0"/>
          <w:color w:val="auto"/>
          <w:sz w:val="22"/>
          <w:szCs w:val="22"/>
          <w:lang w:val="es-ES"/>
        </w:rPr>
      </w:pPr>
      <w:hyperlink w:anchor="_Toc403984299" w:history="1">
        <w:r w:rsidR="007A17B1" w:rsidRPr="00C071CE">
          <w:rPr>
            <w:rStyle w:val="Hipervnculo"/>
          </w:rPr>
          <w:t>2.</w:t>
        </w:r>
        <w:r w:rsidR="007A17B1">
          <w:rPr>
            <w:rFonts w:asciiTheme="minorHAnsi" w:eastAsiaTheme="minorEastAsia" w:hAnsiTheme="minorHAnsi" w:cstheme="minorBidi"/>
            <w:b w:val="0"/>
            <w:color w:val="auto"/>
            <w:sz w:val="22"/>
            <w:szCs w:val="22"/>
            <w:lang w:val="es-ES"/>
          </w:rPr>
          <w:tab/>
        </w:r>
        <w:r w:rsidR="007A17B1" w:rsidRPr="00C071CE">
          <w:rPr>
            <w:rStyle w:val="Hipervnculo"/>
          </w:rPr>
          <w:t>GRANDES EJES DE ACTUACIÓN</w:t>
        </w:r>
        <w:r w:rsidR="007A17B1">
          <w:rPr>
            <w:webHidden/>
          </w:rPr>
          <w:tab/>
        </w:r>
        <w:r w:rsidR="004F64D4">
          <w:rPr>
            <w:webHidden/>
          </w:rPr>
          <w:fldChar w:fldCharType="begin"/>
        </w:r>
        <w:r w:rsidR="007A17B1">
          <w:rPr>
            <w:webHidden/>
          </w:rPr>
          <w:instrText xml:space="preserve"> PAGEREF _Toc403984299 \h </w:instrText>
        </w:r>
        <w:r w:rsidR="004F64D4">
          <w:rPr>
            <w:webHidden/>
          </w:rPr>
        </w:r>
        <w:r w:rsidR="004F64D4">
          <w:rPr>
            <w:webHidden/>
          </w:rPr>
          <w:fldChar w:fldCharType="separate"/>
        </w:r>
        <w:r>
          <w:rPr>
            <w:webHidden/>
          </w:rPr>
          <w:t>6</w:t>
        </w:r>
        <w:r w:rsidR="004F64D4">
          <w:rPr>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0" w:history="1">
        <w:r w:rsidR="007A17B1" w:rsidRPr="00C071CE">
          <w:rPr>
            <w:rStyle w:val="Hipervnculo"/>
            <w:noProof/>
          </w:rPr>
          <w:t>a)</w:t>
        </w:r>
        <w:r w:rsidR="007A17B1">
          <w:rPr>
            <w:rFonts w:asciiTheme="minorHAnsi" w:eastAsiaTheme="minorEastAsia" w:hAnsiTheme="minorHAnsi" w:cstheme="minorBidi"/>
            <w:noProof/>
            <w:sz w:val="22"/>
            <w:szCs w:val="22"/>
            <w:lang w:val="es-ES"/>
          </w:rPr>
          <w:tab/>
        </w:r>
        <w:r w:rsidR="007A17B1" w:rsidRPr="00C071CE">
          <w:rPr>
            <w:rStyle w:val="Hipervnculo"/>
            <w:noProof/>
          </w:rPr>
          <w:t>Rentabilidad económica</w:t>
        </w:r>
        <w:r w:rsidR="007A17B1">
          <w:rPr>
            <w:noProof/>
            <w:webHidden/>
          </w:rPr>
          <w:tab/>
        </w:r>
        <w:r w:rsidR="004F64D4">
          <w:rPr>
            <w:noProof/>
            <w:webHidden/>
          </w:rPr>
          <w:fldChar w:fldCharType="begin"/>
        </w:r>
        <w:r w:rsidR="007A17B1">
          <w:rPr>
            <w:noProof/>
            <w:webHidden/>
          </w:rPr>
          <w:instrText xml:space="preserve"> PAGEREF _Toc403984300 \h </w:instrText>
        </w:r>
        <w:r w:rsidR="004F64D4">
          <w:rPr>
            <w:noProof/>
            <w:webHidden/>
          </w:rPr>
        </w:r>
        <w:r w:rsidR="004F64D4">
          <w:rPr>
            <w:noProof/>
            <w:webHidden/>
          </w:rPr>
          <w:fldChar w:fldCharType="separate"/>
        </w:r>
        <w:r>
          <w:rPr>
            <w:noProof/>
            <w:webHidden/>
          </w:rPr>
          <w:t>6</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1" w:history="1">
        <w:r w:rsidR="007A17B1" w:rsidRPr="00C071CE">
          <w:rPr>
            <w:rStyle w:val="Hipervnculo"/>
            <w:noProof/>
          </w:rPr>
          <w:t>b)</w:t>
        </w:r>
        <w:r w:rsidR="007A17B1">
          <w:rPr>
            <w:rFonts w:asciiTheme="minorHAnsi" w:eastAsiaTheme="minorEastAsia" w:hAnsiTheme="minorHAnsi" w:cstheme="minorBidi"/>
            <w:noProof/>
            <w:sz w:val="22"/>
            <w:szCs w:val="22"/>
            <w:lang w:val="es-ES"/>
          </w:rPr>
          <w:tab/>
        </w:r>
        <w:r w:rsidR="007A17B1" w:rsidRPr="00C071CE">
          <w:rPr>
            <w:rStyle w:val="Hipervnculo"/>
            <w:noProof/>
          </w:rPr>
          <w:t>Rentabilidad social y política de Recursos Humanos</w:t>
        </w:r>
        <w:r w:rsidR="007A17B1">
          <w:rPr>
            <w:noProof/>
            <w:webHidden/>
          </w:rPr>
          <w:tab/>
        </w:r>
        <w:r w:rsidR="004F64D4">
          <w:rPr>
            <w:noProof/>
            <w:webHidden/>
          </w:rPr>
          <w:fldChar w:fldCharType="begin"/>
        </w:r>
        <w:r w:rsidR="007A17B1">
          <w:rPr>
            <w:noProof/>
            <w:webHidden/>
          </w:rPr>
          <w:instrText xml:space="preserve"> PAGEREF _Toc403984301 \h </w:instrText>
        </w:r>
        <w:r w:rsidR="004F64D4">
          <w:rPr>
            <w:noProof/>
            <w:webHidden/>
          </w:rPr>
        </w:r>
        <w:r w:rsidR="004F64D4">
          <w:rPr>
            <w:noProof/>
            <w:webHidden/>
          </w:rPr>
          <w:fldChar w:fldCharType="separate"/>
        </w:r>
        <w:r>
          <w:rPr>
            <w:noProof/>
            <w:webHidden/>
          </w:rPr>
          <w:t>6</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2" w:history="1">
        <w:r w:rsidR="007A17B1" w:rsidRPr="00C071CE">
          <w:rPr>
            <w:rStyle w:val="Hipervnculo"/>
            <w:noProof/>
          </w:rPr>
          <w:t>c)</w:t>
        </w:r>
        <w:r w:rsidR="007A17B1">
          <w:rPr>
            <w:rFonts w:asciiTheme="minorHAnsi" w:eastAsiaTheme="minorEastAsia" w:hAnsiTheme="minorHAnsi" w:cstheme="minorBidi"/>
            <w:noProof/>
            <w:sz w:val="22"/>
            <w:szCs w:val="22"/>
            <w:lang w:val="es-ES"/>
          </w:rPr>
          <w:tab/>
        </w:r>
        <w:r w:rsidR="007A17B1" w:rsidRPr="00C071CE">
          <w:rPr>
            <w:rStyle w:val="Hipervnculo"/>
            <w:noProof/>
          </w:rPr>
          <w:t>Estrategia comercial: Crecimiento, nuevas líneas de negocio, alianzas estratégicas y sinergias de negocio</w:t>
        </w:r>
        <w:r w:rsidR="007A17B1">
          <w:rPr>
            <w:noProof/>
            <w:webHidden/>
          </w:rPr>
          <w:tab/>
        </w:r>
        <w:r w:rsidR="004F64D4">
          <w:rPr>
            <w:noProof/>
            <w:webHidden/>
          </w:rPr>
          <w:fldChar w:fldCharType="begin"/>
        </w:r>
        <w:r w:rsidR="007A17B1">
          <w:rPr>
            <w:noProof/>
            <w:webHidden/>
          </w:rPr>
          <w:instrText xml:space="preserve"> PAGEREF _Toc403984302 \h </w:instrText>
        </w:r>
        <w:r w:rsidR="004F64D4">
          <w:rPr>
            <w:noProof/>
            <w:webHidden/>
          </w:rPr>
        </w:r>
        <w:r w:rsidR="004F64D4">
          <w:rPr>
            <w:noProof/>
            <w:webHidden/>
          </w:rPr>
          <w:fldChar w:fldCharType="separate"/>
        </w:r>
        <w:r>
          <w:rPr>
            <w:noProof/>
            <w:webHidden/>
          </w:rPr>
          <w:t>7</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3" w:history="1">
        <w:r w:rsidR="007A17B1" w:rsidRPr="00C071CE">
          <w:rPr>
            <w:rStyle w:val="Hipervnculo"/>
            <w:noProof/>
          </w:rPr>
          <w:t>d)</w:t>
        </w:r>
        <w:r w:rsidR="007A17B1">
          <w:rPr>
            <w:rFonts w:asciiTheme="minorHAnsi" w:eastAsiaTheme="minorEastAsia" w:hAnsiTheme="minorHAnsi" w:cstheme="minorBidi"/>
            <w:noProof/>
            <w:sz w:val="22"/>
            <w:szCs w:val="22"/>
            <w:lang w:val="es-ES"/>
          </w:rPr>
          <w:tab/>
        </w:r>
        <w:r w:rsidR="007A17B1" w:rsidRPr="00C071CE">
          <w:rPr>
            <w:rStyle w:val="Hipervnculo"/>
            <w:noProof/>
          </w:rPr>
          <w:t>Profesionalización y optimización de la estructura</w:t>
        </w:r>
        <w:r w:rsidR="007A17B1">
          <w:rPr>
            <w:noProof/>
            <w:webHidden/>
          </w:rPr>
          <w:tab/>
        </w:r>
        <w:r w:rsidR="004F64D4">
          <w:rPr>
            <w:noProof/>
            <w:webHidden/>
          </w:rPr>
          <w:fldChar w:fldCharType="begin"/>
        </w:r>
        <w:r w:rsidR="007A17B1">
          <w:rPr>
            <w:noProof/>
            <w:webHidden/>
          </w:rPr>
          <w:instrText xml:space="preserve"> PAGEREF _Toc403984303 \h </w:instrText>
        </w:r>
        <w:r w:rsidR="004F64D4">
          <w:rPr>
            <w:noProof/>
            <w:webHidden/>
          </w:rPr>
        </w:r>
        <w:r w:rsidR="004F64D4">
          <w:rPr>
            <w:noProof/>
            <w:webHidden/>
          </w:rPr>
          <w:fldChar w:fldCharType="separate"/>
        </w:r>
        <w:r>
          <w:rPr>
            <w:noProof/>
            <w:webHidden/>
          </w:rPr>
          <w:t>9</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4" w:history="1">
        <w:r w:rsidR="007A17B1" w:rsidRPr="00C071CE">
          <w:rPr>
            <w:rStyle w:val="Hipervnculo"/>
            <w:noProof/>
          </w:rPr>
          <w:t>e)</w:t>
        </w:r>
        <w:r w:rsidR="007A17B1">
          <w:rPr>
            <w:rFonts w:asciiTheme="minorHAnsi" w:eastAsiaTheme="minorEastAsia" w:hAnsiTheme="minorHAnsi" w:cstheme="minorBidi"/>
            <w:noProof/>
            <w:sz w:val="22"/>
            <w:szCs w:val="22"/>
            <w:lang w:val="es-ES"/>
          </w:rPr>
          <w:tab/>
        </w:r>
        <w:r w:rsidR="007A17B1" w:rsidRPr="00C071CE">
          <w:rPr>
            <w:rStyle w:val="Hipervnculo"/>
            <w:noProof/>
          </w:rPr>
          <w:t>Culminación del proceso de convergencia de los Grupos Empresariales</w:t>
        </w:r>
        <w:r w:rsidR="007A17B1">
          <w:rPr>
            <w:noProof/>
            <w:webHidden/>
          </w:rPr>
          <w:tab/>
        </w:r>
        <w:r w:rsidR="004F64D4">
          <w:rPr>
            <w:noProof/>
            <w:webHidden/>
          </w:rPr>
          <w:fldChar w:fldCharType="begin"/>
        </w:r>
        <w:r w:rsidR="007A17B1">
          <w:rPr>
            <w:noProof/>
            <w:webHidden/>
          </w:rPr>
          <w:instrText xml:space="preserve"> PAGEREF _Toc403984304 \h </w:instrText>
        </w:r>
        <w:r w:rsidR="004F64D4">
          <w:rPr>
            <w:noProof/>
            <w:webHidden/>
          </w:rPr>
        </w:r>
        <w:r w:rsidR="004F64D4">
          <w:rPr>
            <w:noProof/>
            <w:webHidden/>
          </w:rPr>
          <w:fldChar w:fldCharType="separate"/>
        </w:r>
        <w:r>
          <w:rPr>
            <w:noProof/>
            <w:webHidden/>
          </w:rPr>
          <w:t>10</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5" w:history="1">
        <w:r w:rsidR="007A17B1" w:rsidRPr="00C071CE">
          <w:rPr>
            <w:rStyle w:val="Hipervnculo"/>
            <w:noProof/>
          </w:rPr>
          <w:t>f)</w:t>
        </w:r>
        <w:r w:rsidR="007A17B1">
          <w:rPr>
            <w:rFonts w:asciiTheme="minorHAnsi" w:eastAsiaTheme="minorEastAsia" w:hAnsiTheme="minorHAnsi" w:cstheme="minorBidi"/>
            <w:noProof/>
            <w:sz w:val="22"/>
            <w:szCs w:val="22"/>
            <w:lang w:val="es-ES"/>
          </w:rPr>
          <w:tab/>
        </w:r>
        <w:r w:rsidR="007A17B1" w:rsidRPr="00C071CE">
          <w:rPr>
            <w:rStyle w:val="Hipervnculo"/>
            <w:noProof/>
          </w:rPr>
          <w:t>Herramientas de gestión y sistemas de información</w:t>
        </w:r>
        <w:r w:rsidR="007A17B1">
          <w:rPr>
            <w:noProof/>
            <w:webHidden/>
          </w:rPr>
          <w:tab/>
        </w:r>
        <w:r w:rsidR="004F64D4">
          <w:rPr>
            <w:noProof/>
            <w:webHidden/>
          </w:rPr>
          <w:fldChar w:fldCharType="begin"/>
        </w:r>
        <w:r w:rsidR="007A17B1">
          <w:rPr>
            <w:noProof/>
            <w:webHidden/>
          </w:rPr>
          <w:instrText xml:space="preserve"> PAGEREF _Toc403984305 \h </w:instrText>
        </w:r>
        <w:r w:rsidR="004F64D4">
          <w:rPr>
            <w:noProof/>
            <w:webHidden/>
          </w:rPr>
        </w:r>
        <w:r w:rsidR="004F64D4">
          <w:rPr>
            <w:noProof/>
            <w:webHidden/>
          </w:rPr>
          <w:fldChar w:fldCharType="separate"/>
        </w:r>
        <w:r>
          <w:rPr>
            <w:noProof/>
            <w:webHidden/>
          </w:rPr>
          <w:t>10</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6" w:history="1">
        <w:r w:rsidR="007A17B1" w:rsidRPr="00C071CE">
          <w:rPr>
            <w:rStyle w:val="Hipervnculo"/>
            <w:noProof/>
          </w:rPr>
          <w:t>g)</w:t>
        </w:r>
        <w:r w:rsidR="007A17B1">
          <w:rPr>
            <w:rFonts w:asciiTheme="minorHAnsi" w:eastAsiaTheme="minorEastAsia" w:hAnsiTheme="minorHAnsi" w:cstheme="minorBidi"/>
            <w:noProof/>
            <w:sz w:val="22"/>
            <w:szCs w:val="22"/>
            <w:lang w:val="es-ES"/>
          </w:rPr>
          <w:tab/>
        </w:r>
        <w:r w:rsidR="007A17B1" w:rsidRPr="00C071CE">
          <w:rPr>
            <w:rStyle w:val="Hipervnculo"/>
            <w:noProof/>
          </w:rPr>
          <w:t>Responsabilidad Social Empresarial (RSE)</w:t>
        </w:r>
        <w:r w:rsidR="007A17B1">
          <w:rPr>
            <w:noProof/>
            <w:webHidden/>
          </w:rPr>
          <w:tab/>
        </w:r>
        <w:r w:rsidR="004F64D4">
          <w:rPr>
            <w:noProof/>
            <w:webHidden/>
          </w:rPr>
          <w:fldChar w:fldCharType="begin"/>
        </w:r>
        <w:r w:rsidR="007A17B1">
          <w:rPr>
            <w:noProof/>
            <w:webHidden/>
          </w:rPr>
          <w:instrText xml:space="preserve"> PAGEREF _Toc403984306 \h </w:instrText>
        </w:r>
        <w:r w:rsidR="004F64D4">
          <w:rPr>
            <w:noProof/>
            <w:webHidden/>
          </w:rPr>
        </w:r>
        <w:r w:rsidR="004F64D4">
          <w:rPr>
            <w:noProof/>
            <w:webHidden/>
          </w:rPr>
          <w:fldChar w:fldCharType="separate"/>
        </w:r>
        <w:r>
          <w:rPr>
            <w:noProof/>
            <w:webHidden/>
          </w:rPr>
          <w:t>1</w:t>
        </w:r>
        <w:r>
          <w:rPr>
            <w:noProof/>
            <w:webHidden/>
          </w:rPr>
          <w:t>1</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7" w:history="1">
        <w:r w:rsidR="007A17B1" w:rsidRPr="00C071CE">
          <w:rPr>
            <w:rStyle w:val="Hipervnculo"/>
            <w:noProof/>
          </w:rPr>
          <w:t>h)</w:t>
        </w:r>
        <w:r w:rsidR="007A17B1">
          <w:rPr>
            <w:rFonts w:asciiTheme="minorHAnsi" w:eastAsiaTheme="minorEastAsia" w:hAnsiTheme="minorHAnsi" w:cstheme="minorBidi"/>
            <w:noProof/>
            <w:sz w:val="22"/>
            <w:szCs w:val="22"/>
            <w:lang w:val="es-ES"/>
          </w:rPr>
          <w:tab/>
        </w:r>
        <w:r w:rsidR="007A17B1" w:rsidRPr="00C071CE">
          <w:rPr>
            <w:rStyle w:val="Hipervnculo"/>
            <w:noProof/>
          </w:rPr>
          <w:t>Compromiso con la calidad, gestión ambiental y salud y seguridad laboral</w:t>
        </w:r>
        <w:r w:rsidR="007A17B1">
          <w:rPr>
            <w:noProof/>
            <w:webHidden/>
          </w:rPr>
          <w:tab/>
        </w:r>
        <w:r w:rsidR="004F64D4">
          <w:rPr>
            <w:noProof/>
            <w:webHidden/>
          </w:rPr>
          <w:fldChar w:fldCharType="begin"/>
        </w:r>
        <w:r w:rsidR="007A17B1">
          <w:rPr>
            <w:noProof/>
            <w:webHidden/>
          </w:rPr>
          <w:instrText xml:space="preserve"> PAGEREF _Toc403984307 \h </w:instrText>
        </w:r>
        <w:r w:rsidR="004F64D4">
          <w:rPr>
            <w:noProof/>
            <w:webHidden/>
          </w:rPr>
        </w:r>
        <w:r w:rsidR="004F64D4">
          <w:rPr>
            <w:noProof/>
            <w:webHidden/>
          </w:rPr>
          <w:fldChar w:fldCharType="separate"/>
        </w:r>
        <w:r>
          <w:rPr>
            <w:noProof/>
            <w:webHidden/>
          </w:rPr>
          <w:t>12</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8" w:history="1">
        <w:r w:rsidR="007A17B1" w:rsidRPr="00C071CE">
          <w:rPr>
            <w:rStyle w:val="Hipervnculo"/>
            <w:noProof/>
          </w:rPr>
          <w:t>i)</w:t>
        </w:r>
        <w:r w:rsidR="007A17B1">
          <w:rPr>
            <w:rFonts w:asciiTheme="minorHAnsi" w:eastAsiaTheme="minorEastAsia" w:hAnsiTheme="minorHAnsi" w:cstheme="minorBidi"/>
            <w:noProof/>
            <w:sz w:val="22"/>
            <w:szCs w:val="22"/>
            <w:lang w:val="es-ES"/>
          </w:rPr>
          <w:tab/>
        </w:r>
        <w:r w:rsidR="007A17B1" w:rsidRPr="00C071CE">
          <w:rPr>
            <w:rStyle w:val="Hipervnculo"/>
            <w:noProof/>
          </w:rPr>
          <w:t>Empresas participadas</w:t>
        </w:r>
        <w:r w:rsidR="007A17B1">
          <w:rPr>
            <w:noProof/>
            <w:webHidden/>
          </w:rPr>
          <w:tab/>
        </w:r>
        <w:r w:rsidR="004F64D4">
          <w:rPr>
            <w:noProof/>
            <w:webHidden/>
          </w:rPr>
          <w:fldChar w:fldCharType="begin"/>
        </w:r>
        <w:r w:rsidR="007A17B1">
          <w:rPr>
            <w:noProof/>
            <w:webHidden/>
          </w:rPr>
          <w:instrText xml:space="preserve"> PAGEREF _Toc403984308 \h </w:instrText>
        </w:r>
        <w:r w:rsidR="004F64D4">
          <w:rPr>
            <w:noProof/>
            <w:webHidden/>
          </w:rPr>
        </w:r>
        <w:r w:rsidR="004F64D4">
          <w:rPr>
            <w:noProof/>
            <w:webHidden/>
          </w:rPr>
          <w:fldChar w:fldCharType="separate"/>
        </w:r>
        <w:r>
          <w:rPr>
            <w:noProof/>
            <w:webHidden/>
          </w:rPr>
          <w:t>13</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09" w:history="1">
        <w:r w:rsidR="007A17B1" w:rsidRPr="00C071CE">
          <w:rPr>
            <w:rStyle w:val="Hipervnculo"/>
            <w:noProof/>
          </w:rPr>
          <w:t>j)</w:t>
        </w:r>
        <w:r w:rsidR="007A17B1">
          <w:rPr>
            <w:rFonts w:asciiTheme="minorHAnsi" w:eastAsiaTheme="minorEastAsia" w:hAnsiTheme="minorHAnsi" w:cstheme="minorBidi"/>
            <w:noProof/>
            <w:sz w:val="22"/>
            <w:szCs w:val="22"/>
            <w:lang w:val="es-ES"/>
          </w:rPr>
          <w:tab/>
        </w:r>
        <w:r w:rsidR="007A17B1" w:rsidRPr="00C071CE">
          <w:rPr>
            <w:rStyle w:val="Hipervnculo"/>
            <w:noProof/>
          </w:rPr>
          <w:t>Colaboraciones con organizaciones</w:t>
        </w:r>
        <w:r w:rsidR="007A17B1">
          <w:rPr>
            <w:noProof/>
            <w:webHidden/>
          </w:rPr>
          <w:tab/>
        </w:r>
        <w:r w:rsidR="004F64D4">
          <w:rPr>
            <w:noProof/>
            <w:webHidden/>
          </w:rPr>
          <w:fldChar w:fldCharType="begin"/>
        </w:r>
        <w:r w:rsidR="007A17B1">
          <w:rPr>
            <w:noProof/>
            <w:webHidden/>
          </w:rPr>
          <w:instrText xml:space="preserve"> PAGEREF _Toc403984309 \h </w:instrText>
        </w:r>
        <w:r w:rsidR="004F64D4">
          <w:rPr>
            <w:noProof/>
            <w:webHidden/>
          </w:rPr>
        </w:r>
        <w:r w:rsidR="004F64D4">
          <w:rPr>
            <w:noProof/>
            <w:webHidden/>
          </w:rPr>
          <w:fldChar w:fldCharType="separate"/>
        </w:r>
        <w:r>
          <w:rPr>
            <w:noProof/>
            <w:webHidden/>
          </w:rPr>
          <w:t>13</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10" w:history="1">
        <w:r w:rsidR="007A17B1" w:rsidRPr="00C071CE">
          <w:rPr>
            <w:rStyle w:val="Hipervnculo"/>
            <w:noProof/>
          </w:rPr>
          <w:t>k)</w:t>
        </w:r>
        <w:r w:rsidR="007A17B1">
          <w:rPr>
            <w:rFonts w:asciiTheme="minorHAnsi" w:eastAsiaTheme="minorEastAsia" w:hAnsiTheme="minorHAnsi" w:cstheme="minorBidi"/>
            <w:noProof/>
            <w:sz w:val="22"/>
            <w:szCs w:val="22"/>
            <w:lang w:val="es-ES"/>
          </w:rPr>
          <w:tab/>
        </w:r>
        <w:r w:rsidR="007A17B1" w:rsidRPr="00C071CE">
          <w:rPr>
            <w:rStyle w:val="Hipervnculo"/>
            <w:noProof/>
          </w:rPr>
          <w:t>Desinversión en negocios no rentables en el largo plazo</w:t>
        </w:r>
        <w:r w:rsidR="007A17B1">
          <w:rPr>
            <w:noProof/>
            <w:webHidden/>
          </w:rPr>
          <w:tab/>
        </w:r>
        <w:r w:rsidR="004F64D4">
          <w:rPr>
            <w:noProof/>
            <w:webHidden/>
          </w:rPr>
          <w:fldChar w:fldCharType="begin"/>
        </w:r>
        <w:r w:rsidR="007A17B1">
          <w:rPr>
            <w:noProof/>
            <w:webHidden/>
          </w:rPr>
          <w:instrText xml:space="preserve"> PAGEREF _Toc403984310 \h </w:instrText>
        </w:r>
        <w:r w:rsidR="004F64D4">
          <w:rPr>
            <w:noProof/>
            <w:webHidden/>
          </w:rPr>
        </w:r>
        <w:r w:rsidR="004F64D4">
          <w:rPr>
            <w:noProof/>
            <w:webHidden/>
          </w:rPr>
          <w:fldChar w:fldCharType="separate"/>
        </w:r>
        <w:r>
          <w:rPr>
            <w:noProof/>
            <w:webHidden/>
          </w:rPr>
          <w:t>14</w:t>
        </w:r>
        <w:r w:rsidR="004F64D4">
          <w:rPr>
            <w:noProof/>
            <w:webHidden/>
          </w:rPr>
          <w:fldChar w:fldCharType="end"/>
        </w:r>
      </w:hyperlink>
    </w:p>
    <w:p w:rsidR="007A17B1" w:rsidRDefault="005D4012">
      <w:pPr>
        <w:pStyle w:val="TDC1"/>
        <w:rPr>
          <w:rFonts w:asciiTheme="minorHAnsi" w:eastAsiaTheme="minorEastAsia" w:hAnsiTheme="minorHAnsi" w:cstheme="minorBidi"/>
          <w:b w:val="0"/>
          <w:color w:val="auto"/>
          <w:sz w:val="22"/>
          <w:szCs w:val="22"/>
          <w:lang w:val="es-ES"/>
        </w:rPr>
      </w:pPr>
      <w:hyperlink w:anchor="_Toc403984311" w:history="1">
        <w:r w:rsidR="007A17B1" w:rsidRPr="00C071CE">
          <w:rPr>
            <w:rStyle w:val="Hipervnculo"/>
          </w:rPr>
          <w:t>3.</w:t>
        </w:r>
        <w:r w:rsidR="007A17B1">
          <w:rPr>
            <w:rFonts w:asciiTheme="minorHAnsi" w:eastAsiaTheme="minorEastAsia" w:hAnsiTheme="minorHAnsi" w:cstheme="minorBidi"/>
            <w:b w:val="0"/>
            <w:color w:val="auto"/>
            <w:sz w:val="22"/>
            <w:szCs w:val="22"/>
            <w:lang w:val="es-ES"/>
          </w:rPr>
          <w:tab/>
        </w:r>
        <w:r w:rsidR="007A17B1" w:rsidRPr="00C071CE">
          <w:rPr>
            <w:rStyle w:val="Hipervnculo"/>
          </w:rPr>
          <w:t>ESTIMADO DE CIERRE Y PLAN DE ACTUACIÓN DEL GRUPO FUNDOSA PARA EL EJERCICIO 2015</w:t>
        </w:r>
        <w:r w:rsidR="007A17B1">
          <w:rPr>
            <w:webHidden/>
          </w:rPr>
          <w:tab/>
        </w:r>
        <w:r w:rsidR="004F64D4">
          <w:rPr>
            <w:webHidden/>
          </w:rPr>
          <w:fldChar w:fldCharType="begin"/>
        </w:r>
        <w:r w:rsidR="007A17B1">
          <w:rPr>
            <w:webHidden/>
          </w:rPr>
          <w:instrText xml:space="preserve"> PAGEREF _Toc403984311 \h </w:instrText>
        </w:r>
        <w:r w:rsidR="004F64D4">
          <w:rPr>
            <w:webHidden/>
          </w:rPr>
        </w:r>
        <w:r w:rsidR="004F64D4">
          <w:rPr>
            <w:webHidden/>
          </w:rPr>
          <w:fldChar w:fldCharType="separate"/>
        </w:r>
        <w:r>
          <w:rPr>
            <w:webHidden/>
          </w:rPr>
          <w:t>15</w:t>
        </w:r>
        <w:r w:rsidR="004F64D4">
          <w:rPr>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12" w:history="1">
        <w:r w:rsidR="007A17B1" w:rsidRPr="00C071CE">
          <w:rPr>
            <w:rStyle w:val="Hipervnculo"/>
            <w:noProof/>
          </w:rPr>
          <w:t>a)</w:t>
        </w:r>
        <w:r w:rsidR="007A17B1">
          <w:rPr>
            <w:rFonts w:asciiTheme="minorHAnsi" w:eastAsiaTheme="minorEastAsia" w:hAnsiTheme="minorHAnsi" w:cstheme="minorBidi"/>
            <w:noProof/>
            <w:sz w:val="22"/>
            <w:szCs w:val="22"/>
            <w:lang w:val="es-ES"/>
          </w:rPr>
          <w:tab/>
        </w:r>
        <w:r w:rsidR="007A17B1" w:rsidRPr="00C071CE">
          <w:rPr>
            <w:rStyle w:val="Hipervnculo"/>
            <w:noProof/>
          </w:rPr>
          <w:t>Coyuntura económica actual</w:t>
        </w:r>
        <w:r w:rsidR="007A17B1">
          <w:rPr>
            <w:noProof/>
            <w:webHidden/>
          </w:rPr>
          <w:tab/>
        </w:r>
        <w:r w:rsidR="004F64D4">
          <w:rPr>
            <w:noProof/>
            <w:webHidden/>
          </w:rPr>
          <w:fldChar w:fldCharType="begin"/>
        </w:r>
        <w:r w:rsidR="007A17B1">
          <w:rPr>
            <w:noProof/>
            <w:webHidden/>
          </w:rPr>
          <w:instrText xml:space="preserve"> PAGEREF _Toc403984312 \h </w:instrText>
        </w:r>
        <w:r w:rsidR="004F64D4">
          <w:rPr>
            <w:noProof/>
            <w:webHidden/>
          </w:rPr>
        </w:r>
        <w:r w:rsidR="004F64D4">
          <w:rPr>
            <w:noProof/>
            <w:webHidden/>
          </w:rPr>
          <w:fldChar w:fldCharType="separate"/>
        </w:r>
        <w:r>
          <w:rPr>
            <w:noProof/>
            <w:webHidden/>
          </w:rPr>
          <w:t>15</w:t>
        </w:r>
        <w:r w:rsidR="004F64D4">
          <w:rPr>
            <w:noProof/>
            <w:webHidden/>
          </w:rPr>
          <w:fldChar w:fldCharType="end"/>
        </w:r>
      </w:hyperlink>
    </w:p>
    <w:p w:rsidR="007A17B1" w:rsidRDefault="005D4012">
      <w:pPr>
        <w:pStyle w:val="TDC2"/>
        <w:rPr>
          <w:rFonts w:asciiTheme="minorHAnsi" w:eastAsiaTheme="minorEastAsia" w:hAnsiTheme="minorHAnsi" w:cstheme="minorBidi"/>
          <w:noProof/>
          <w:sz w:val="22"/>
          <w:szCs w:val="22"/>
          <w:lang w:val="es-ES"/>
        </w:rPr>
      </w:pPr>
      <w:hyperlink w:anchor="_Toc403984313" w:history="1">
        <w:r w:rsidR="007A17B1" w:rsidRPr="00C071CE">
          <w:rPr>
            <w:rStyle w:val="Hipervnculo"/>
            <w:noProof/>
          </w:rPr>
          <w:t>b)</w:t>
        </w:r>
        <w:r w:rsidR="007A17B1">
          <w:rPr>
            <w:rFonts w:asciiTheme="minorHAnsi" w:eastAsiaTheme="minorEastAsia" w:hAnsiTheme="minorHAnsi" w:cstheme="minorBidi"/>
            <w:noProof/>
            <w:sz w:val="22"/>
            <w:szCs w:val="22"/>
            <w:lang w:val="es-ES"/>
          </w:rPr>
          <w:tab/>
        </w:r>
        <w:r w:rsidR="007A17B1" w:rsidRPr="00C071CE">
          <w:rPr>
            <w:rStyle w:val="Hipervnculo"/>
            <w:noProof/>
          </w:rPr>
          <w:t>Principales magnitudes económicas, financieras y de empleo</w:t>
        </w:r>
        <w:r w:rsidR="007A17B1">
          <w:rPr>
            <w:noProof/>
            <w:webHidden/>
          </w:rPr>
          <w:tab/>
        </w:r>
        <w:r w:rsidR="004F64D4">
          <w:rPr>
            <w:noProof/>
            <w:webHidden/>
          </w:rPr>
          <w:fldChar w:fldCharType="begin"/>
        </w:r>
        <w:r w:rsidR="007A17B1">
          <w:rPr>
            <w:noProof/>
            <w:webHidden/>
          </w:rPr>
          <w:instrText xml:space="preserve"> PAGEREF _Toc403984313 \h </w:instrText>
        </w:r>
        <w:r w:rsidR="004F64D4">
          <w:rPr>
            <w:noProof/>
            <w:webHidden/>
          </w:rPr>
        </w:r>
        <w:r w:rsidR="004F64D4">
          <w:rPr>
            <w:noProof/>
            <w:webHidden/>
          </w:rPr>
          <w:fldChar w:fldCharType="separate"/>
        </w:r>
        <w:r>
          <w:rPr>
            <w:noProof/>
            <w:webHidden/>
          </w:rPr>
          <w:t>16</w:t>
        </w:r>
        <w:r w:rsidR="004F64D4">
          <w:rPr>
            <w:noProof/>
            <w:webHidden/>
          </w:rPr>
          <w:fldChar w:fldCharType="end"/>
        </w:r>
      </w:hyperlink>
    </w:p>
    <w:p w:rsidR="007A17B1" w:rsidRPr="007A17B1" w:rsidRDefault="005D4012">
      <w:pPr>
        <w:pStyle w:val="TDC3"/>
        <w:rPr>
          <w:rFonts w:asciiTheme="minorHAnsi" w:eastAsiaTheme="minorEastAsia" w:hAnsiTheme="minorHAnsi" w:cstheme="minorBidi"/>
          <w:noProof/>
          <w:sz w:val="22"/>
          <w:szCs w:val="22"/>
          <w:lang w:val="es-ES"/>
        </w:rPr>
      </w:pPr>
      <w:hyperlink w:anchor="_Toc403984314" w:history="1">
        <w:r w:rsidR="007A17B1" w:rsidRPr="007A17B1">
          <w:rPr>
            <w:rStyle w:val="Hipervnculo"/>
            <w:rFonts w:ascii="Wingdings" w:hAnsi="Wingdings" w:cs="Arial"/>
            <w:noProof/>
          </w:rPr>
          <w:t></w:t>
        </w:r>
        <w:r w:rsidR="007A17B1" w:rsidRPr="007A17B1">
          <w:rPr>
            <w:rFonts w:asciiTheme="minorHAnsi" w:eastAsiaTheme="minorEastAsia" w:hAnsiTheme="minorHAnsi" w:cstheme="minorBidi"/>
            <w:noProof/>
            <w:sz w:val="22"/>
            <w:szCs w:val="22"/>
            <w:lang w:val="es-ES"/>
          </w:rPr>
          <w:tab/>
        </w:r>
        <w:r w:rsidR="007A17B1" w:rsidRPr="007A17B1">
          <w:rPr>
            <w:rStyle w:val="Hipervnculo"/>
            <w:rFonts w:cs="Arial"/>
            <w:noProof/>
          </w:rPr>
          <w:t>Ingresos por ventas</w:t>
        </w:r>
        <w:r w:rsidR="007A17B1" w:rsidRPr="007A17B1">
          <w:rPr>
            <w:noProof/>
            <w:webHidden/>
          </w:rPr>
          <w:tab/>
        </w:r>
        <w:r w:rsidR="004F64D4" w:rsidRPr="007A17B1">
          <w:rPr>
            <w:noProof/>
            <w:webHidden/>
          </w:rPr>
          <w:fldChar w:fldCharType="begin"/>
        </w:r>
        <w:r w:rsidR="007A17B1" w:rsidRPr="007A17B1">
          <w:rPr>
            <w:noProof/>
            <w:webHidden/>
          </w:rPr>
          <w:instrText xml:space="preserve"> PAGEREF _Toc403984314 \h </w:instrText>
        </w:r>
        <w:r w:rsidR="004F64D4" w:rsidRPr="007A17B1">
          <w:rPr>
            <w:noProof/>
            <w:webHidden/>
          </w:rPr>
        </w:r>
        <w:r w:rsidR="004F64D4" w:rsidRPr="007A17B1">
          <w:rPr>
            <w:noProof/>
            <w:webHidden/>
          </w:rPr>
          <w:fldChar w:fldCharType="separate"/>
        </w:r>
        <w:r>
          <w:rPr>
            <w:noProof/>
            <w:webHidden/>
          </w:rPr>
          <w:t>16</w:t>
        </w:r>
        <w:r w:rsidR="004F64D4" w:rsidRPr="007A17B1">
          <w:rPr>
            <w:noProof/>
            <w:webHidden/>
          </w:rPr>
          <w:fldChar w:fldCharType="end"/>
        </w:r>
      </w:hyperlink>
    </w:p>
    <w:p w:rsidR="007A17B1" w:rsidRDefault="005D4012">
      <w:pPr>
        <w:pStyle w:val="TDC3"/>
        <w:rPr>
          <w:rFonts w:asciiTheme="minorHAnsi" w:eastAsiaTheme="minorEastAsia" w:hAnsiTheme="minorHAnsi" w:cstheme="minorBidi"/>
          <w:noProof/>
          <w:sz w:val="22"/>
          <w:szCs w:val="22"/>
          <w:lang w:val="es-ES"/>
        </w:rPr>
      </w:pPr>
      <w:hyperlink w:anchor="_Toc403984315" w:history="1">
        <w:r w:rsidR="007A17B1" w:rsidRPr="00C071CE">
          <w:rPr>
            <w:rStyle w:val="Hipervnculo"/>
            <w:rFonts w:ascii="Wingdings" w:hAnsi="Wingdings" w:cs="Arial"/>
            <w:noProof/>
          </w:rPr>
          <w:t></w:t>
        </w:r>
        <w:r w:rsidR="007A17B1">
          <w:rPr>
            <w:rFonts w:asciiTheme="minorHAnsi" w:eastAsiaTheme="minorEastAsia" w:hAnsiTheme="minorHAnsi" w:cstheme="minorBidi"/>
            <w:noProof/>
            <w:sz w:val="22"/>
            <w:szCs w:val="22"/>
            <w:lang w:val="es-ES"/>
          </w:rPr>
          <w:tab/>
        </w:r>
        <w:r w:rsidR="007A17B1" w:rsidRPr="007A17B1">
          <w:rPr>
            <w:rStyle w:val="Hipervnculo"/>
            <w:rFonts w:cs="Arial"/>
            <w:noProof/>
          </w:rPr>
          <w:t>Resultado de explotación</w:t>
        </w:r>
        <w:r w:rsidR="007A17B1">
          <w:rPr>
            <w:noProof/>
            <w:webHidden/>
          </w:rPr>
          <w:tab/>
        </w:r>
        <w:r w:rsidR="004F64D4">
          <w:rPr>
            <w:noProof/>
            <w:webHidden/>
          </w:rPr>
          <w:fldChar w:fldCharType="begin"/>
        </w:r>
        <w:r w:rsidR="007A17B1">
          <w:rPr>
            <w:noProof/>
            <w:webHidden/>
          </w:rPr>
          <w:instrText xml:space="preserve"> PAGEREF _Toc403984315 \h </w:instrText>
        </w:r>
        <w:r w:rsidR="004F64D4">
          <w:rPr>
            <w:noProof/>
            <w:webHidden/>
          </w:rPr>
        </w:r>
        <w:r w:rsidR="004F64D4">
          <w:rPr>
            <w:noProof/>
            <w:webHidden/>
          </w:rPr>
          <w:fldChar w:fldCharType="separate"/>
        </w:r>
        <w:r>
          <w:rPr>
            <w:noProof/>
            <w:webHidden/>
          </w:rPr>
          <w:t>17</w:t>
        </w:r>
        <w:r w:rsidR="004F64D4">
          <w:rPr>
            <w:noProof/>
            <w:webHidden/>
          </w:rPr>
          <w:fldChar w:fldCharType="end"/>
        </w:r>
      </w:hyperlink>
    </w:p>
    <w:p w:rsidR="007A17B1" w:rsidRDefault="005D4012">
      <w:pPr>
        <w:pStyle w:val="TDC3"/>
        <w:rPr>
          <w:rFonts w:asciiTheme="minorHAnsi" w:eastAsiaTheme="minorEastAsia" w:hAnsiTheme="minorHAnsi" w:cstheme="minorBidi"/>
          <w:noProof/>
          <w:sz w:val="22"/>
          <w:szCs w:val="22"/>
          <w:lang w:val="es-ES"/>
        </w:rPr>
      </w:pPr>
      <w:hyperlink w:anchor="_Toc403984316" w:history="1">
        <w:r w:rsidR="007A17B1" w:rsidRPr="00C071CE">
          <w:rPr>
            <w:rStyle w:val="Hipervnculo"/>
            <w:rFonts w:ascii="Wingdings" w:hAnsi="Wingdings" w:cs="Arial"/>
            <w:noProof/>
          </w:rPr>
          <w:t></w:t>
        </w:r>
        <w:r w:rsidR="007A17B1">
          <w:rPr>
            <w:rFonts w:asciiTheme="minorHAnsi" w:eastAsiaTheme="minorEastAsia" w:hAnsiTheme="minorHAnsi" w:cstheme="minorBidi"/>
            <w:noProof/>
            <w:sz w:val="22"/>
            <w:szCs w:val="22"/>
            <w:lang w:val="es-ES"/>
          </w:rPr>
          <w:tab/>
        </w:r>
        <w:r w:rsidR="007A17B1" w:rsidRPr="007A17B1">
          <w:rPr>
            <w:rStyle w:val="Hipervnculo"/>
            <w:rFonts w:cs="Arial"/>
            <w:noProof/>
          </w:rPr>
          <w:t>Resultado final (sociedad dominante)</w:t>
        </w:r>
        <w:r w:rsidR="007A17B1">
          <w:rPr>
            <w:noProof/>
            <w:webHidden/>
          </w:rPr>
          <w:tab/>
        </w:r>
        <w:r w:rsidR="004F64D4">
          <w:rPr>
            <w:noProof/>
            <w:webHidden/>
          </w:rPr>
          <w:fldChar w:fldCharType="begin"/>
        </w:r>
        <w:r w:rsidR="007A17B1">
          <w:rPr>
            <w:noProof/>
            <w:webHidden/>
          </w:rPr>
          <w:instrText xml:space="preserve"> PAGEREF _Toc403984316 \h </w:instrText>
        </w:r>
        <w:r w:rsidR="004F64D4">
          <w:rPr>
            <w:noProof/>
            <w:webHidden/>
          </w:rPr>
        </w:r>
        <w:r w:rsidR="004F64D4">
          <w:rPr>
            <w:noProof/>
            <w:webHidden/>
          </w:rPr>
          <w:fldChar w:fldCharType="separate"/>
        </w:r>
        <w:r>
          <w:rPr>
            <w:noProof/>
            <w:webHidden/>
          </w:rPr>
          <w:t>20</w:t>
        </w:r>
        <w:r w:rsidR="004F64D4">
          <w:rPr>
            <w:noProof/>
            <w:webHidden/>
          </w:rPr>
          <w:fldChar w:fldCharType="end"/>
        </w:r>
      </w:hyperlink>
    </w:p>
    <w:p w:rsidR="007A17B1" w:rsidRDefault="005D4012">
      <w:pPr>
        <w:pStyle w:val="TDC3"/>
        <w:rPr>
          <w:rFonts w:asciiTheme="minorHAnsi" w:eastAsiaTheme="minorEastAsia" w:hAnsiTheme="minorHAnsi" w:cstheme="minorBidi"/>
          <w:noProof/>
          <w:sz w:val="22"/>
          <w:szCs w:val="22"/>
          <w:lang w:val="es-ES"/>
        </w:rPr>
      </w:pPr>
      <w:hyperlink w:anchor="_Toc403984317" w:history="1">
        <w:r w:rsidR="007A17B1" w:rsidRPr="00C071CE">
          <w:rPr>
            <w:rStyle w:val="Hipervnculo"/>
            <w:rFonts w:ascii="Wingdings" w:hAnsi="Wingdings" w:cs="Arial"/>
            <w:noProof/>
          </w:rPr>
          <w:t></w:t>
        </w:r>
        <w:r w:rsidR="007A17B1">
          <w:rPr>
            <w:rFonts w:asciiTheme="minorHAnsi" w:eastAsiaTheme="minorEastAsia" w:hAnsiTheme="minorHAnsi" w:cstheme="minorBidi"/>
            <w:noProof/>
            <w:sz w:val="22"/>
            <w:szCs w:val="22"/>
            <w:lang w:val="es-ES"/>
          </w:rPr>
          <w:tab/>
        </w:r>
        <w:r w:rsidR="007A17B1" w:rsidRPr="007A17B1">
          <w:rPr>
            <w:rStyle w:val="Hipervnculo"/>
            <w:rFonts w:cs="Arial"/>
            <w:noProof/>
          </w:rPr>
          <w:t>Inversiones</w:t>
        </w:r>
        <w:r w:rsidR="007A17B1">
          <w:rPr>
            <w:noProof/>
            <w:webHidden/>
          </w:rPr>
          <w:tab/>
        </w:r>
        <w:r w:rsidR="004F64D4">
          <w:rPr>
            <w:noProof/>
            <w:webHidden/>
          </w:rPr>
          <w:fldChar w:fldCharType="begin"/>
        </w:r>
        <w:r w:rsidR="007A17B1">
          <w:rPr>
            <w:noProof/>
            <w:webHidden/>
          </w:rPr>
          <w:instrText xml:space="preserve"> PAGEREF _Toc403984317 \h </w:instrText>
        </w:r>
        <w:r w:rsidR="004F64D4">
          <w:rPr>
            <w:noProof/>
            <w:webHidden/>
          </w:rPr>
        </w:r>
        <w:r w:rsidR="004F64D4">
          <w:rPr>
            <w:noProof/>
            <w:webHidden/>
          </w:rPr>
          <w:fldChar w:fldCharType="separate"/>
        </w:r>
        <w:r>
          <w:rPr>
            <w:noProof/>
            <w:webHidden/>
          </w:rPr>
          <w:t>21</w:t>
        </w:r>
        <w:r w:rsidR="004F64D4">
          <w:rPr>
            <w:noProof/>
            <w:webHidden/>
          </w:rPr>
          <w:fldChar w:fldCharType="end"/>
        </w:r>
      </w:hyperlink>
    </w:p>
    <w:p w:rsidR="007A17B1" w:rsidRDefault="005D4012">
      <w:pPr>
        <w:pStyle w:val="TDC3"/>
        <w:rPr>
          <w:rFonts w:asciiTheme="minorHAnsi" w:eastAsiaTheme="minorEastAsia" w:hAnsiTheme="minorHAnsi" w:cstheme="minorBidi"/>
          <w:noProof/>
          <w:sz w:val="22"/>
          <w:szCs w:val="22"/>
          <w:lang w:val="es-ES"/>
        </w:rPr>
      </w:pPr>
      <w:hyperlink w:anchor="_Toc403984318" w:history="1">
        <w:r w:rsidR="007A17B1" w:rsidRPr="00C071CE">
          <w:rPr>
            <w:rStyle w:val="Hipervnculo"/>
            <w:rFonts w:ascii="Wingdings" w:hAnsi="Wingdings" w:cs="Arial"/>
            <w:noProof/>
          </w:rPr>
          <w:t></w:t>
        </w:r>
        <w:r w:rsidR="007A17B1">
          <w:rPr>
            <w:rFonts w:asciiTheme="minorHAnsi" w:eastAsiaTheme="minorEastAsia" w:hAnsiTheme="minorHAnsi" w:cstheme="minorBidi"/>
            <w:noProof/>
            <w:sz w:val="22"/>
            <w:szCs w:val="22"/>
            <w:lang w:val="es-ES"/>
          </w:rPr>
          <w:tab/>
        </w:r>
        <w:r w:rsidR="007A17B1" w:rsidRPr="007A17B1">
          <w:rPr>
            <w:rStyle w:val="Hipervnculo"/>
            <w:rFonts w:cs="Arial"/>
            <w:noProof/>
          </w:rPr>
          <w:t>Financiación</w:t>
        </w:r>
        <w:r w:rsidR="007A17B1">
          <w:rPr>
            <w:noProof/>
            <w:webHidden/>
          </w:rPr>
          <w:tab/>
        </w:r>
        <w:r w:rsidR="004F64D4">
          <w:rPr>
            <w:noProof/>
            <w:webHidden/>
          </w:rPr>
          <w:fldChar w:fldCharType="begin"/>
        </w:r>
        <w:r w:rsidR="007A17B1">
          <w:rPr>
            <w:noProof/>
            <w:webHidden/>
          </w:rPr>
          <w:instrText xml:space="preserve"> PAGEREF _Toc403984318 \h </w:instrText>
        </w:r>
        <w:r w:rsidR="004F64D4">
          <w:rPr>
            <w:noProof/>
            <w:webHidden/>
          </w:rPr>
        </w:r>
        <w:r w:rsidR="004F64D4">
          <w:rPr>
            <w:noProof/>
            <w:webHidden/>
          </w:rPr>
          <w:fldChar w:fldCharType="separate"/>
        </w:r>
        <w:r>
          <w:rPr>
            <w:noProof/>
            <w:webHidden/>
          </w:rPr>
          <w:t>24</w:t>
        </w:r>
        <w:r w:rsidR="004F64D4">
          <w:rPr>
            <w:noProof/>
            <w:webHidden/>
          </w:rPr>
          <w:fldChar w:fldCharType="end"/>
        </w:r>
      </w:hyperlink>
    </w:p>
    <w:p w:rsidR="007A17B1" w:rsidRDefault="005D4012">
      <w:pPr>
        <w:pStyle w:val="TDC3"/>
        <w:rPr>
          <w:rFonts w:asciiTheme="minorHAnsi" w:eastAsiaTheme="minorEastAsia" w:hAnsiTheme="minorHAnsi" w:cstheme="minorBidi"/>
          <w:noProof/>
          <w:sz w:val="22"/>
          <w:szCs w:val="22"/>
          <w:lang w:val="es-ES"/>
        </w:rPr>
      </w:pPr>
      <w:hyperlink w:anchor="_Toc403984319" w:history="1">
        <w:r w:rsidR="007A17B1" w:rsidRPr="00C071CE">
          <w:rPr>
            <w:rStyle w:val="Hipervnculo"/>
            <w:rFonts w:ascii="Wingdings" w:hAnsi="Wingdings" w:cs="Arial"/>
            <w:noProof/>
          </w:rPr>
          <w:t></w:t>
        </w:r>
        <w:r w:rsidR="007A17B1">
          <w:rPr>
            <w:rFonts w:asciiTheme="minorHAnsi" w:eastAsiaTheme="minorEastAsia" w:hAnsiTheme="minorHAnsi" w:cstheme="minorBidi"/>
            <w:noProof/>
            <w:sz w:val="22"/>
            <w:szCs w:val="22"/>
            <w:lang w:val="es-ES"/>
          </w:rPr>
          <w:tab/>
        </w:r>
        <w:r w:rsidR="007A17B1" w:rsidRPr="007A17B1">
          <w:rPr>
            <w:rStyle w:val="Hipervnculo"/>
            <w:rFonts w:cs="Arial"/>
            <w:noProof/>
          </w:rPr>
          <w:t>Empleo</w:t>
        </w:r>
        <w:r w:rsidR="007A17B1">
          <w:rPr>
            <w:noProof/>
            <w:webHidden/>
          </w:rPr>
          <w:tab/>
        </w:r>
        <w:r w:rsidR="004F64D4">
          <w:rPr>
            <w:noProof/>
            <w:webHidden/>
          </w:rPr>
          <w:fldChar w:fldCharType="begin"/>
        </w:r>
        <w:r w:rsidR="007A17B1">
          <w:rPr>
            <w:noProof/>
            <w:webHidden/>
          </w:rPr>
          <w:instrText xml:space="preserve"> PAGEREF _Toc403984319 \h </w:instrText>
        </w:r>
        <w:r w:rsidR="004F64D4">
          <w:rPr>
            <w:noProof/>
            <w:webHidden/>
          </w:rPr>
        </w:r>
        <w:r w:rsidR="004F64D4">
          <w:rPr>
            <w:noProof/>
            <w:webHidden/>
          </w:rPr>
          <w:fldChar w:fldCharType="separate"/>
        </w:r>
        <w:r>
          <w:rPr>
            <w:noProof/>
            <w:webHidden/>
          </w:rPr>
          <w:t>25</w:t>
        </w:r>
        <w:r w:rsidR="004F64D4">
          <w:rPr>
            <w:noProof/>
            <w:webHidden/>
          </w:rPr>
          <w:fldChar w:fldCharType="end"/>
        </w:r>
      </w:hyperlink>
    </w:p>
    <w:p w:rsidR="00250ABD" w:rsidRDefault="004F64D4" w:rsidP="00250ABD">
      <w:pPr>
        <w:spacing w:line="360" w:lineRule="auto"/>
        <w:ind w:left="360"/>
        <w:jc w:val="both"/>
        <w:rPr>
          <w:rFonts w:cs="Arial"/>
          <w:b/>
          <w:noProof/>
          <w:szCs w:val="24"/>
        </w:rPr>
      </w:pPr>
      <w:r>
        <w:rPr>
          <w:rFonts w:cs="Arial"/>
          <w:b/>
          <w:noProof/>
          <w:szCs w:val="24"/>
        </w:rPr>
        <w:fldChar w:fldCharType="end"/>
      </w:r>
      <w:bookmarkStart w:id="2" w:name="_Toc213647529"/>
    </w:p>
    <w:p w:rsidR="00E8581E" w:rsidRPr="00BF7448" w:rsidRDefault="00250ABD" w:rsidP="00865401">
      <w:pPr>
        <w:pStyle w:val="Ttulo1"/>
        <w:numPr>
          <w:ilvl w:val="0"/>
          <w:numId w:val="3"/>
        </w:numPr>
        <w:spacing w:before="0" w:after="0"/>
        <w:rPr>
          <w:color w:val="016FB8"/>
          <w:sz w:val="28"/>
          <w:szCs w:val="28"/>
          <w:u w:val="single"/>
        </w:rPr>
      </w:pPr>
      <w:r>
        <w:rPr>
          <w:b w:val="0"/>
          <w:noProof/>
          <w:szCs w:val="24"/>
        </w:rPr>
        <w:br w:type="page"/>
      </w:r>
      <w:bookmarkStart w:id="3" w:name="_Toc403984295"/>
      <w:r w:rsidR="00E8581E" w:rsidRPr="00BF7448">
        <w:rPr>
          <w:color w:val="016FB8"/>
          <w:sz w:val="28"/>
          <w:szCs w:val="28"/>
          <w:u w:val="single"/>
        </w:rPr>
        <w:lastRenderedPageBreak/>
        <w:t>INTRODUCCIÓN</w:t>
      </w:r>
      <w:bookmarkEnd w:id="2"/>
      <w:bookmarkEnd w:id="3"/>
    </w:p>
    <w:p w:rsidR="006064D5" w:rsidRDefault="006064D5" w:rsidP="00C1411B">
      <w:pPr>
        <w:pStyle w:val="Sangra3detindependiente"/>
        <w:ind w:left="0"/>
        <w:rPr>
          <w:rFonts w:cs="Arial"/>
          <w:szCs w:val="24"/>
        </w:rPr>
      </w:pPr>
    </w:p>
    <w:p w:rsidR="006064D5" w:rsidRPr="003D54DD" w:rsidRDefault="00091E64" w:rsidP="00FB5460">
      <w:pPr>
        <w:pStyle w:val="Sangra3detindependiente"/>
        <w:ind w:left="0"/>
        <w:rPr>
          <w:b/>
          <w:i/>
          <w:szCs w:val="24"/>
          <w:u w:val="single"/>
        </w:rPr>
      </w:pPr>
      <w:r w:rsidRPr="003D54DD">
        <w:rPr>
          <w:rFonts w:cs="Arial"/>
          <w:szCs w:val="24"/>
        </w:rPr>
        <w:t>En este documento se presenta el Plan de Actuación del Grupo Fundosa para el ejercicio 201</w:t>
      </w:r>
      <w:r w:rsidR="00BC5817" w:rsidRPr="003D54DD">
        <w:rPr>
          <w:rFonts w:cs="Arial"/>
          <w:szCs w:val="24"/>
        </w:rPr>
        <w:t>5</w:t>
      </w:r>
      <w:r w:rsidRPr="003D54DD">
        <w:rPr>
          <w:rFonts w:cs="Arial"/>
          <w:szCs w:val="24"/>
        </w:rPr>
        <w:t>. En él</w:t>
      </w:r>
      <w:r w:rsidR="00FB5460" w:rsidRPr="003D54DD">
        <w:rPr>
          <w:rFonts w:cs="Arial"/>
          <w:szCs w:val="24"/>
        </w:rPr>
        <w:t xml:space="preserve"> se describen las principales líneas presupuestarias y se recogen las magnitudes económicas, financieras y sociales que se plantean como objetivo. </w:t>
      </w:r>
      <w:bookmarkStart w:id="4" w:name="_Toc213647530"/>
    </w:p>
    <w:p w:rsidR="00280D80" w:rsidRPr="003D54DD" w:rsidRDefault="00280D80" w:rsidP="00280D80"/>
    <w:p w:rsidR="00E8581E" w:rsidRPr="00BF7448" w:rsidRDefault="00E8581E" w:rsidP="00865401">
      <w:pPr>
        <w:pStyle w:val="Ttulo2"/>
        <w:numPr>
          <w:ilvl w:val="1"/>
          <w:numId w:val="3"/>
        </w:numPr>
        <w:tabs>
          <w:tab w:val="clear" w:pos="1080"/>
          <w:tab w:val="num" w:pos="360"/>
        </w:tabs>
        <w:spacing w:before="0" w:after="0"/>
        <w:ind w:left="360"/>
        <w:rPr>
          <w:i w:val="0"/>
          <w:color w:val="016FB8"/>
          <w:sz w:val="24"/>
          <w:szCs w:val="24"/>
          <w:u w:val="single"/>
        </w:rPr>
      </w:pPr>
      <w:bookmarkStart w:id="5" w:name="_Toc403984296"/>
      <w:r w:rsidRPr="00BF7448">
        <w:rPr>
          <w:i w:val="0"/>
          <w:color w:val="016FB8"/>
          <w:sz w:val="24"/>
          <w:szCs w:val="24"/>
          <w:u w:val="single"/>
        </w:rPr>
        <w:t>Definición del Plan de Actuación</w:t>
      </w:r>
      <w:bookmarkEnd w:id="4"/>
      <w:bookmarkEnd w:id="5"/>
    </w:p>
    <w:p w:rsidR="006064D5" w:rsidRPr="003D54DD" w:rsidRDefault="006064D5" w:rsidP="00C1411B">
      <w:pPr>
        <w:jc w:val="both"/>
        <w:rPr>
          <w:rFonts w:cs="Arial"/>
          <w:szCs w:val="24"/>
        </w:rPr>
      </w:pPr>
    </w:p>
    <w:p w:rsidR="00E8581E" w:rsidRPr="003D54DD" w:rsidRDefault="00E8581E" w:rsidP="00C1411B">
      <w:pPr>
        <w:jc w:val="both"/>
        <w:rPr>
          <w:rFonts w:cs="Arial"/>
          <w:szCs w:val="24"/>
        </w:rPr>
      </w:pPr>
      <w:r w:rsidRPr="003D54DD">
        <w:rPr>
          <w:rFonts w:cs="Arial"/>
          <w:szCs w:val="24"/>
        </w:rPr>
        <w:t xml:space="preserve">El Plan de Actuación constituye la principal herramienta </w:t>
      </w:r>
      <w:r w:rsidR="003D762F" w:rsidRPr="003D54DD">
        <w:rPr>
          <w:rFonts w:cs="Arial"/>
          <w:szCs w:val="24"/>
        </w:rPr>
        <w:t xml:space="preserve">anual </w:t>
      </w:r>
      <w:r w:rsidRPr="003D54DD">
        <w:rPr>
          <w:rFonts w:cs="Arial"/>
          <w:szCs w:val="24"/>
        </w:rPr>
        <w:t>de planificación empresarial</w:t>
      </w:r>
      <w:r w:rsidR="003D762F" w:rsidRPr="003D54DD">
        <w:rPr>
          <w:rFonts w:cs="Arial"/>
          <w:szCs w:val="24"/>
        </w:rPr>
        <w:t xml:space="preserve">, seguimiento y control de gestión </w:t>
      </w:r>
      <w:r w:rsidRPr="003D54DD">
        <w:rPr>
          <w:rFonts w:cs="Arial"/>
          <w:szCs w:val="24"/>
        </w:rPr>
        <w:t>de</w:t>
      </w:r>
      <w:r w:rsidR="00283BE8" w:rsidRPr="003D54DD">
        <w:rPr>
          <w:rFonts w:cs="Arial"/>
          <w:szCs w:val="24"/>
        </w:rPr>
        <w:t>l Grupo Fundosa</w:t>
      </w:r>
      <w:r w:rsidRPr="003D54DD">
        <w:rPr>
          <w:rFonts w:cs="Arial"/>
          <w:szCs w:val="24"/>
        </w:rPr>
        <w:t xml:space="preserve"> dirigida a la consecución de sus objetivos en materia económica y de empleo.</w:t>
      </w:r>
      <w:r w:rsidR="00F5277E" w:rsidRPr="003D54DD">
        <w:rPr>
          <w:rFonts w:cs="Arial"/>
          <w:szCs w:val="24"/>
        </w:rPr>
        <w:t xml:space="preserve"> Contiene una descripción detallada de las principales líneas de actuación, así como los medios necesarios para el logro de los objetivos planteados.</w:t>
      </w:r>
    </w:p>
    <w:p w:rsidR="00DB2344" w:rsidRPr="003D54DD" w:rsidRDefault="00DB2344" w:rsidP="00280D80">
      <w:bookmarkStart w:id="6" w:name="_Toc213647531"/>
    </w:p>
    <w:p w:rsidR="00784AB2" w:rsidRPr="003D54DD" w:rsidRDefault="00784AB2" w:rsidP="00280D80"/>
    <w:p w:rsidR="00E8581E" w:rsidRPr="00BF7448" w:rsidRDefault="00E8581E" w:rsidP="00865401">
      <w:pPr>
        <w:pStyle w:val="Ttulo2"/>
        <w:numPr>
          <w:ilvl w:val="1"/>
          <w:numId w:val="3"/>
        </w:numPr>
        <w:tabs>
          <w:tab w:val="clear" w:pos="1080"/>
          <w:tab w:val="num" w:pos="360"/>
        </w:tabs>
        <w:spacing w:before="0" w:after="0"/>
        <w:ind w:left="360"/>
        <w:rPr>
          <w:i w:val="0"/>
          <w:color w:val="016FB8"/>
          <w:sz w:val="24"/>
          <w:szCs w:val="24"/>
          <w:u w:val="single"/>
        </w:rPr>
      </w:pPr>
      <w:bookmarkStart w:id="7" w:name="_Toc403984297"/>
      <w:r w:rsidRPr="00BF7448">
        <w:rPr>
          <w:i w:val="0"/>
          <w:color w:val="016FB8"/>
          <w:sz w:val="24"/>
          <w:szCs w:val="24"/>
          <w:u w:val="single"/>
        </w:rPr>
        <w:t>Criterios</w:t>
      </w:r>
      <w:bookmarkEnd w:id="6"/>
      <w:bookmarkEnd w:id="7"/>
    </w:p>
    <w:p w:rsidR="006064D5" w:rsidRPr="003D54DD" w:rsidRDefault="006064D5" w:rsidP="00C1411B">
      <w:pPr>
        <w:jc w:val="both"/>
        <w:rPr>
          <w:rFonts w:cs="Arial"/>
          <w:szCs w:val="24"/>
        </w:rPr>
      </w:pPr>
    </w:p>
    <w:p w:rsidR="00E8581E" w:rsidRPr="003D54DD" w:rsidRDefault="00E8581E" w:rsidP="00C1411B">
      <w:pPr>
        <w:jc w:val="both"/>
        <w:rPr>
          <w:rFonts w:cs="Arial"/>
          <w:szCs w:val="24"/>
        </w:rPr>
      </w:pPr>
      <w:r w:rsidRPr="003D54DD">
        <w:rPr>
          <w:rFonts w:cs="Arial"/>
          <w:szCs w:val="24"/>
        </w:rPr>
        <w:t xml:space="preserve">Para la elaboración del Plan de Actuación se han observado los siguientes </w:t>
      </w:r>
      <w:r w:rsidR="003D762F" w:rsidRPr="003D54DD">
        <w:rPr>
          <w:rFonts w:cs="Arial"/>
          <w:szCs w:val="24"/>
        </w:rPr>
        <w:t xml:space="preserve">preceptos y </w:t>
      </w:r>
      <w:r w:rsidRPr="003D54DD">
        <w:rPr>
          <w:rFonts w:cs="Arial"/>
          <w:szCs w:val="24"/>
        </w:rPr>
        <w:t>criterios a nivel general:</w:t>
      </w:r>
    </w:p>
    <w:p w:rsidR="00A358B6" w:rsidRPr="003D54DD" w:rsidRDefault="00A358B6" w:rsidP="00C1411B">
      <w:pPr>
        <w:jc w:val="both"/>
        <w:rPr>
          <w:rFonts w:cs="Arial"/>
          <w:szCs w:val="24"/>
        </w:rPr>
      </w:pPr>
    </w:p>
    <w:p w:rsidR="00A51EC5" w:rsidRPr="003D54DD" w:rsidRDefault="00A51EC5" w:rsidP="00865401">
      <w:pPr>
        <w:numPr>
          <w:ilvl w:val="0"/>
          <w:numId w:val="1"/>
        </w:numPr>
        <w:tabs>
          <w:tab w:val="clear" w:pos="1425"/>
          <w:tab w:val="num" w:pos="360"/>
          <w:tab w:val="num" w:pos="1080"/>
        </w:tabs>
        <w:ind w:left="357" w:hanging="357"/>
        <w:jc w:val="both"/>
        <w:rPr>
          <w:rFonts w:cs="Arial"/>
          <w:szCs w:val="24"/>
        </w:rPr>
      </w:pPr>
      <w:r w:rsidRPr="003D54DD">
        <w:rPr>
          <w:rFonts w:cs="Arial"/>
          <w:szCs w:val="24"/>
        </w:rPr>
        <w:t>Las líneas presupuestarias del ejercicio 201</w:t>
      </w:r>
      <w:r w:rsidR="00BC5817" w:rsidRPr="003D54DD">
        <w:rPr>
          <w:rFonts w:cs="Arial"/>
          <w:szCs w:val="24"/>
        </w:rPr>
        <w:t>5</w:t>
      </w:r>
      <w:r w:rsidR="00552699" w:rsidRPr="003D54DD">
        <w:rPr>
          <w:rFonts w:cs="Arial"/>
          <w:szCs w:val="24"/>
        </w:rPr>
        <w:t xml:space="preserve"> aprobadas por el C</w:t>
      </w:r>
      <w:r w:rsidRPr="003D54DD">
        <w:rPr>
          <w:rFonts w:cs="Arial"/>
          <w:szCs w:val="24"/>
        </w:rPr>
        <w:t>onsejo General de la ONCE.</w:t>
      </w:r>
    </w:p>
    <w:p w:rsidR="00A51EC5" w:rsidRPr="003D54DD" w:rsidRDefault="00A51EC5" w:rsidP="00A51EC5">
      <w:pPr>
        <w:tabs>
          <w:tab w:val="num" w:pos="1425"/>
        </w:tabs>
        <w:ind w:left="357"/>
        <w:jc w:val="both"/>
        <w:rPr>
          <w:rFonts w:cs="Arial"/>
          <w:szCs w:val="24"/>
          <w:highlight w:val="magenta"/>
        </w:rPr>
      </w:pPr>
    </w:p>
    <w:p w:rsidR="0076785E" w:rsidRPr="003D54DD" w:rsidRDefault="00892020" w:rsidP="00865401">
      <w:pPr>
        <w:numPr>
          <w:ilvl w:val="0"/>
          <w:numId w:val="1"/>
        </w:numPr>
        <w:tabs>
          <w:tab w:val="clear" w:pos="1425"/>
          <w:tab w:val="num" w:pos="360"/>
          <w:tab w:val="num" w:pos="1080"/>
        </w:tabs>
        <w:ind w:left="357" w:hanging="357"/>
        <w:jc w:val="both"/>
        <w:rPr>
          <w:rFonts w:cs="Arial"/>
          <w:szCs w:val="24"/>
        </w:rPr>
      </w:pPr>
      <w:r w:rsidRPr="003D54DD">
        <w:rPr>
          <w:rFonts w:cs="Arial"/>
          <w:szCs w:val="24"/>
        </w:rPr>
        <w:t>El Reglamento</w:t>
      </w:r>
      <w:r w:rsidR="00916B67" w:rsidRPr="003D54DD">
        <w:rPr>
          <w:rFonts w:cs="Arial"/>
          <w:szCs w:val="24"/>
        </w:rPr>
        <w:t xml:space="preserve"> de funcionamiento económico-financiero de la ONCE y su Fundación</w:t>
      </w:r>
      <w:r w:rsidR="00E468B2" w:rsidRPr="003D54DD">
        <w:rPr>
          <w:rFonts w:cs="Arial"/>
          <w:szCs w:val="24"/>
        </w:rPr>
        <w:t xml:space="preserve"> aprobado por el Consejo General</w:t>
      </w:r>
      <w:r w:rsidR="00DE263A" w:rsidRPr="003D54DD">
        <w:rPr>
          <w:rFonts w:cs="Arial"/>
          <w:szCs w:val="24"/>
        </w:rPr>
        <w:t xml:space="preserve">, mediante acuerdo </w:t>
      </w:r>
      <w:r w:rsidR="00552699" w:rsidRPr="003D54DD">
        <w:rPr>
          <w:rFonts w:cs="Arial"/>
          <w:szCs w:val="24"/>
        </w:rPr>
        <w:t>3</w:t>
      </w:r>
      <w:r w:rsidR="005B16D9" w:rsidRPr="003D54DD">
        <w:rPr>
          <w:rFonts w:cs="Arial"/>
          <w:szCs w:val="24"/>
        </w:rPr>
        <w:t>/201</w:t>
      </w:r>
      <w:r w:rsidR="00552699" w:rsidRPr="003D54DD">
        <w:rPr>
          <w:rFonts w:cs="Arial"/>
          <w:szCs w:val="24"/>
        </w:rPr>
        <w:t>3</w:t>
      </w:r>
      <w:r w:rsidR="00DE263A" w:rsidRPr="003D54DD">
        <w:rPr>
          <w:rFonts w:cs="Arial"/>
          <w:szCs w:val="24"/>
        </w:rPr>
        <w:t>-</w:t>
      </w:r>
      <w:r w:rsidR="005B16D9" w:rsidRPr="003D54DD">
        <w:rPr>
          <w:rFonts w:cs="Arial"/>
          <w:szCs w:val="24"/>
        </w:rPr>
        <w:t>1</w:t>
      </w:r>
      <w:r w:rsidR="00DE263A" w:rsidRPr="003D54DD">
        <w:rPr>
          <w:rFonts w:cs="Arial"/>
          <w:szCs w:val="24"/>
        </w:rPr>
        <w:t>.</w:t>
      </w:r>
      <w:r w:rsidR="005B16D9" w:rsidRPr="003D54DD">
        <w:rPr>
          <w:rFonts w:cs="Arial"/>
          <w:szCs w:val="24"/>
        </w:rPr>
        <w:t>3</w:t>
      </w:r>
      <w:r w:rsidR="00552699" w:rsidRPr="003D54DD">
        <w:rPr>
          <w:rFonts w:cs="Arial"/>
          <w:szCs w:val="24"/>
        </w:rPr>
        <w:t>,</w:t>
      </w:r>
      <w:r w:rsidR="00E468B2" w:rsidRPr="003D54DD">
        <w:rPr>
          <w:rFonts w:cs="Arial"/>
          <w:szCs w:val="24"/>
        </w:rPr>
        <w:t xml:space="preserve"> de </w:t>
      </w:r>
      <w:r w:rsidR="00552699" w:rsidRPr="003D54DD">
        <w:rPr>
          <w:rFonts w:cs="Arial"/>
          <w:szCs w:val="24"/>
        </w:rPr>
        <w:t>26</w:t>
      </w:r>
      <w:r w:rsidR="00E468B2" w:rsidRPr="003D54DD">
        <w:rPr>
          <w:rFonts w:cs="Arial"/>
          <w:szCs w:val="24"/>
        </w:rPr>
        <w:t xml:space="preserve"> de </w:t>
      </w:r>
      <w:r w:rsidR="00552699" w:rsidRPr="003D54DD">
        <w:rPr>
          <w:rFonts w:cs="Arial"/>
          <w:szCs w:val="24"/>
        </w:rPr>
        <w:t>septiembre,</w:t>
      </w:r>
      <w:r w:rsidR="00E468B2" w:rsidRPr="003D54DD">
        <w:rPr>
          <w:rFonts w:cs="Arial"/>
          <w:szCs w:val="24"/>
        </w:rPr>
        <w:t xml:space="preserve"> que incluye</w:t>
      </w:r>
      <w:r w:rsidR="00840E16" w:rsidRPr="003D54DD">
        <w:rPr>
          <w:rFonts w:cs="Arial"/>
          <w:szCs w:val="24"/>
        </w:rPr>
        <w:t>,</w:t>
      </w:r>
      <w:r w:rsidR="00244047" w:rsidRPr="003D54DD">
        <w:rPr>
          <w:rFonts w:cs="Arial"/>
          <w:szCs w:val="24"/>
        </w:rPr>
        <w:t xml:space="preserve"> entre otro</w:t>
      </w:r>
      <w:r w:rsidR="00E468B2" w:rsidRPr="003D54DD">
        <w:rPr>
          <w:rFonts w:cs="Arial"/>
          <w:szCs w:val="24"/>
        </w:rPr>
        <w:t>s, el cumplimiento de los límites de endeudamiento bancario y similar global</w:t>
      </w:r>
      <w:r w:rsidR="00B00295" w:rsidRPr="003D54DD">
        <w:rPr>
          <w:rFonts w:cs="Arial"/>
          <w:szCs w:val="24"/>
        </w:rPr>
        <w:t xml:space="preserve"> de Fundosa</w:t>
      </w:r>
      <w:r w:rsidR="00E468B2" w:rsidRPr="003D54DD">
        <w:rPr>
          <w:rFonts w:cs="Arial"/>
          <w:szCs w:val="24"/>
        </w:rPr>
        <w:t xml:space="preserve">, así como el fondo de estabilidad patrimonial de la Fundación ONCE y Fundosa Grupo. </w:t>
      </w:r>
    </w:p>
    <w:p w:rsidR="006064D5" w:rsidRPr="003D54DD" w:rsidRDefault="006064D5" w:rsidP="00C1411B">
      <w:pPr>
        <w:tabs>
          <w:tab w:val="num" w:pos="720"/>
          <w:tab w:val="num" w:pos="1080"/>
        </w:tabs>
        <w:jc w:val="both"/>
        <w:rPr>
          <w:rFonts w:cs="Arial"/>
          <w:szCs w:val="24"/>
        </w:rPr>
      </w:pPr>
    </w:p>
    <w:p w:rsidR="00A51EC5" w:rsidRPr="00DB076F" w:rsidRDefault="00A51EC5" w:rsidP="00865401">
      <w:pPr>
        <w:numPr>
          <w:ilvl w:val="0"/>
          <w:numId w:val="1"/>
        </w:numPr>
        <w:tabs>
          <w:tab w:val="clear" w:pos="1425"/>
          <w:tab w:val="num" w:pos="360"/>
          <w:tab w:val="num" w:pos="720"/>
          <w:tab w:val="num" w:pos="1080"/>
        </w:tabs>
        <w:ind w:left="357" w:hanging="357"/>
        <w:jc w:val="both"/>
        <w:rPr>
          <w:rFonts w:cs="Arial"/>
          <w:szCs w:val="24"/>
        </w:rPr>
      </w:pPr>
      <w:r w:rsidRPr="003D54DD">
        <w:rPr>
          <w:rFonts w:cs="Arial"/>
          <w:szCs w:val="24"/>
        </w:rPr>
        <w:t>El Plan de Actuación del ejercicio 201</w:t>
      </w:r>
      <w:r w:rsidR="00BC5817" w:rsidRPr="003D54DD">
        <w:rPr>
          <w:rFonts w:cs="Arial"/>
          <w:szCs w:val="24"/>
        </w:rPr>
        <w:t>5</w:t>
      </w:r>
      <w:r w:rsidRPr="003D54DD">
        <w:rPr>
          <w:rFonts w:cs="Arial"/>
          <w:szCs w:val="24"/>
        </w:rPr>
        <w:t xml:space="preserve"> se integra dentro de los objetivos económicos y sociales aprobados en </w:t>
      </w:r>
      <w:r w:rsidR="00661F31" w:rsidRPr="003D54DD">
        <w:rPr>
          <w:rFonts w:cs="Arial"/>
          <w:szCs w:val="24"/>
        </w:rPr>
        <w:t>la Revisión Proyecciones Económico Financieras, de Desarrollo y Recursos Humanos para el periodo 2012-2015, horizonte 2014-2017</w:t>
      </w:r>
      <w:r w:rsidRPr="003D54DD">
        <w:rPr>
          <w:rFonts w:cs="Arial"/>
          <w:szCs w:val="24"/>
        </w:rPr>
        <w:t xml:space="preserve">, presentado en </w:t>
      </w:r>
      <w:r w:rsidRPr="00DB076F">
        <w:rPr>
          <w:rFonts w:cs="Arial"/>
          <w:szCs w:val="24"/>
        </w:rPr>
        <w:t>201</w:t>
      </w:r>
      <w:r w:rsidR="00BC5817" w:rsidRPr="00DB076F">
        <w:rPr>
          <w:rFonts w:cs="Arial"/>
          <w:szCs w:val="24"/>
        </w:rPr>
        <w:t>4</w:t>
      </w:r>
      <w:r w:rsidRPr="00DB076F">
        <w:rPr>
          <w:rFonts w:cs="Arial"/>
          <w:szCs w:val="24"/>
        </w:rPr>
        <w:t xml:space="preserve"> al Comité de Estrategia Económica, Juego y Desarrollo Empresarial de la ONCE y su Fundación.</w:t>
      </w:r>
    </w:p>
    <w:p w:rsidR="00A51EC5" w:rsidRDefault="00A51EC5" w:rsidP="00A51EC5">
      <w:pPr>
        <w:tabs>
          <w:tab w:val="num" w:pos="720"/>
          <w:tab w:val="num" w:pos="1080"/>
        </w:tabs>
        <w:ind w:left="357"/>
        <w:jc w:val="both"/>
        <w:rPr>
          <w:rFonts w:cs="Arial"/>
          <w:szCs w:val="24"/>
        </w:rPr>
      </w:pPr>
    </w:p>
    <w:p w:rsidR="00784AB2" w:rsidRPr="00043DA4" w:rsidRDefault="00784AB2" w:rsidP="00A51EC5">
      <w:pPr>
        <w:tabs>
          <w:tab w:val="num" w:pos="720"/>
          <w:tab w:val="num" w:pos="1080"/>
        </w:tabs>
        <w:ind w:left="357"/>
        <w:jc w:val="both"/>
        <w:rPr>
          <w:rFonts w:cs="Arial"/>
          <w:szCs w:val="24"/>
        </w:rPr>
      </w:pPr>
    </w:p>
    <w:p w:rsidR="00E8581E" w:rsidRPr="00BF7448" w:rsidRDefault="00784AB2" w:rsidP="00865401">
      <w:pPr>
        <w:pStyle w:val="Ttulo2"/>
        <w:numPr>
          <w:ilvl w:val="1"/>
          <w:numId w:val="3"/>
        </w:numPr>
        <w:tabs>
          <w:tab w:val="clear" w:pos="1080"/>
          <w:tab w:val="num" w:pos="360"/>
        </w:tabs>
        <w:spacing w:before="0" w:after="0"/>
        <w:ind w:left="360"/>
        <w:rPr>
          <w:i w:val="0"/>
          <w:color w:val="016FB8"/>
          <w:sz w:val="24"/>
          <w:szCs w:val="24"/>
          <w:u w:val="single"/>
        </w:rPr>
      </w:pPr>
      <w:bookmarkStart w:id="8" w:name="_Toc213647532"/>
      <w:r>
        <w:rPr>
          <w:i w:val="0"/>
          <w:color w:val="005C54"/>
          <w:sz w:val="24"/>
          <w:szCs w:val="24"/>
          <w:u w:val="single"/>
        </w:rPr>
        <w:br w:type="page"/>
      </w:r>
      <w:bookmarkStart w:id="9" w:name="_Toc403984298"/>
      <w:r w:rsidR="00E8581E" w:rsidRPr="00BF7448">
        <w:rPr>
          <w:i w:val="0"/>
          <w:color w:val="016FB8"/>
          <w:sz w:val="24"/>
          <w:szCs w:val="24"/>
          <w:u w:val="single"/>
        </w:rPr>
        <w:lastRenderedPageBreak/>
        <w:t>Perímetro empresarial</w:t>
      </w:r>
      <w:bookmarkEnd w:id="8"/>
      <w:bookmarkEnd w:id="9"/>
    </w:p>
    <w:p w:rsidR="002D0056" w:rsidRPr="002E4D21" w:rsidRDefault="002D0056" w:rsidP="002E4D21">
      <w:pPr>
        <w:pStyle w:val="Textoindependiente"/>
        <w:jc w:val="both"/>
        <w:rPr>
          <w:rFonts w:cs="Arial"/>
          <w:b w:val="0"/>
          <w:sz w:val="24"/>
          <w:szCs w:val="24"/>
        </w:rPr>
      </w:pPr>
      <w:bookmarkStart w:id="10" w:name="_Toc213647533"/>
    </w:p>
    <w:p w:rsidR="002E4D21" w:rsidRPr="003D54DD" w:rsidRDefault="002E4D21" w:rsidP="002E4D21">
      <w:pPr>
        <w:pStyle w:val="Textoindependiente"/>
        <w:jc w:val="both"/>
        <w:rPr>
          <w:rFonts w:cs="Arial"/>
          <w:b w:val="0"/>
          <w:sz w:val="24"/>
          <w:szCs w:val="24"/>
        </w:rPr>
      </w:pPr>
      <w:r w:rsidRPr="003D54DD">
        <w:rPr>
          <w:rFonts w:cs="Arial"/>
          <w:b w:val="0"/>
          <w:sz w:val="24"/>
          <w:szCs w:val="24"/>
        </w:rPr>
        <w:t>Se presentan las magnitudes del estimado de cierre de 201</w:t>
      </w:r>
      <w:r w:rsidR="00BC5817" w:rsidRPr="003D54DD">
        <w:rPr>
          <w:rFonts w:cs="Arial"/>
          <w:b w:val="0"/>
          <w:sz w:val="24"/>
          <w:szCs w:val="24"/>
        </w:rPr>
        <w:t>4</w:t>
      </w:r>
      <w:r w:rsidRPr="003D54DD">
        <w:rPr>
          <w:rFonts w:cs="Arial"/>
          <w:b w:val="0"/>
          <w:sz w:val="24"/>
          <w:szCs w:val="24"/>
        </w:rPr>
        <w:t xml:space="preserve"> y del plan de actuación de 201</w:t>
      </w:r>
      <w:r w:rsidR="00BC5817" w:rsidRPr="003D54DD">
        <w:rPr>
          <w:rFonts w:cs="Arial"/>
          <w:b w:val="0"/>
          <w:sz w:val="24"/>
          <w:szCs w:val="24"/>
        </w:rPr>
        <w:t>5</w:t>
      </w:r>
      <w:r w:rsidRPr="003D54DD">
        <w:rPr>
          <w:rFonts w:cs="Arial"/>
          <w:b w:val="0"/>
          <w:sz w:val="24"/>
          <w:szCs w:val="24"/>
        </w:rPr>
        <w:t xml:space="preserve"> utilizando criterios de consolidación:</w:t>
      </w:r>
    </w:p>
    <w:p w:rsidR="002E4D21" w:rsidRPr="003D54DD" w:rsidRDefault="002E4D21" w:rsidP="002E4D21">
      <w:pPr>
        <w:pStyle w:val="Textoindependiente"/>
        <w:jc w:val="both"/>
        <w:rPr>
          <w:rFonts w:cs="Arial"/>
          <w:b w:val="0"/>
          <w:sz w:val="24"/>
          <w:szCs w:val="24"/>
        </w:rPr>
      </w:pPr>
    </w:p>
    <w:p w:rsidR="002E4D21" w:rsidRPr="003D54DD" w:rsidRDefault="002E4D21" w:rsidP="00865401">
      <w:pPr>
        <w:pStyle w:val="Textoindependiente"/>
        <w:numPr>
          <w:ilvl w:val="0"/>
          <w:numId w:val="7"/>
        </w:numPr>
        <w:jc w:val="both"/>
        <w:rPr>
          <w:rFonts w:cs="Arial"/>
          <w:b w:val="0"/>
          <w:sz w:val="24"/>
          <w:szCs w:val="24"/>
        </w:rPr>
      </w:pPr>
      <w:r w:rsidRPr="003D54DD">
        <w:rPr>
          <w:rFonts w:cs="Arial"/>
          <w:b w:val="0"/>
          <w:sz w:val="24"/>
          <w:szCs w:val="24"/>
        </w:rPr>
        <w:t>Sociedades filiales:</w:t>
      </w:r>
    </w:p>
    <w:p w:rsidR="002E4D21" w:rsidRPr="003D54DD" w:rsidRDefault="002E4D21" w:rsidP="002E4D21">
      <w:pPr>
        <w:pStyle w:val="Textoindependiente"/>
        <w:jc w:val="both"/>
        <w:rPr>
          <w:rFonts w:cs="Arial"/>
          <w:b w:val="0"/>
          <w:sz w:val="24"/>
          <w:szCs w:val="24"/>
        </w:rPr>
      </w:pPr>
    </w:p>
    <w:p w:rsidR="002E4D21" w:rsidRPr="003D54DD" w:rsidRDefault="002E4D21" w:rsidP="00865401">
      <w:pPr>
        <w:pStyle w:val="Textoindependiente"/>
        <w:numPr>
          <w:ilvl w:val="0"/>
          <w:numId w:val="5"/>
        </w:numPr>
        <w:jc w:val="both"/>
        <w:rPr>
          <w:rFonts w:cs="Arial"/>
          <w:b w:val="0"/>
          <w:sz w:val="24"/>
          <w:szCs w:val="24"/>
        </w:rPr>
      </w:pPr>
      <w:r w:rsidRPr="003D54DD">
        <w:rPr>
          <w:rFonts w:cs="Arial"/>
          <w:b w:val="0"/>
          <w:sz w:val="24"/>
          <w:szCs w:val="24"/>
        </w:rPr>
        <w:t>Se incorporan por el método de integración global aquellas sociedades en las que la participación accionarial del Grupo Fundosa es superior al 50%.</w:t>
      </w:r>
    </w:p>
    <w:p w:rsidR="002E4D21" w:rsidRPr="003D54DD" w:rsidRDefault="002E4D21" w:rsidP="002E4D21">
      <w:pPr>
        <w:pStyle w:val="Textoindependiente"/>
        <w:ind w:left="360"/>
        <w:jc w:val="both"/>
        <w:rPr>
          <w:rFonts w:cs="Arial"/>
          <w:b w:val="0"/>
          <w:sz w:val="24"/>
          <w:szCs w:val="24"/>
        </w:rPr>
      </w:pPr>
    </w:p>
    <w:p w:rsidR="002E4D21" w:rsidRPr="003D54DD" w:rsidRDefault="002E4D21" w:rsidP="00865401">
      <w:pPr>
        <w:pStyle w:val="Textoindependiente"/>
        <w:numPr>
          <w:ilvl w:val="0"/>
          <w:numId w:val="5"/>
        </w:numPr>
        <w:jc w:val="both"/>
        <w:rPr>
          <w:rFonts w:cs="Arial"/>
          <w:b w:val="0"/>
          <w:sz w:val="24"/>
          <w:szCs w:val="24"/>
        </w:rPr>
      </w:pPr>
      <w:r w:rsidRPr="003D54DD">
        <w:rPr>
          <w:rFonts w:cs="Arial"/>
          <w:b w:val="0"/>
          <w:sz w:val="24"/>
          <w:szCs w:val="24"/>
        </w:rPr>
        <w:t>Adicionalmente, se incorporan por el método de integración proporcional las cuentas de las sociedades Cipo Flisa, Lavandería Amalia, Fabricación Modular Valenciana, Textil Rental, Lavanderías Industriales Lavanor, Lavanderías Mecánicas Crisol, Limpieza Franco,</w:t>
      </w:r>
      <w:r w:rsidR="001D00EA" w:rsidRPr="003D54DD">
        <w:rPr>
          <w:rFonts w:cs="Arial"/>
          <w:b w:val="0"/>
          <w:sz w:val="24"/>
          <w:szCs w:val="24"/>
        </w:rPr>
        <w:t xml:space="preserve"> Clintex Lavandería Industrial, Be O</w:t>
      </w:r>
      <w:r w:rsidRPr="003D54DD">
        <w:rPr>
          <w:rFonts w:cs="Arial"/>
          <w:b w:val="0"/>
          <w:sz w:val="24"/>
          <w:szCs w:val="24"/>
        </w:rPr>
        <w:t xml:space="preserve">n Diversity </w:t>
      </w:r>
      <w:r w:rsidR="001D00EA" w:rsidRPr="003D54DD">
        <w:rPr>
          <w:rFonts w:cs="Arial"/>
          <w:b w:val="0"/>
          <w:sz w:val="24"/>
          <w:szCs w:val="24"/>
        </w:rPr>
        <w:t xml:space="preserve">y una nueva lavandería </w:t>
      </w:r>
      <w:r w:rsidRPr="003D54DD">
        <w:rPr>
          <w:rFonts w:cs="Arial"/>
          <w:b w:val="0"/>
          <w:sz w:val="24"/>
          <w:szCs w:val="24"/>
        </w:rPr>
        <w:t xml:space="preserve">en las que el Grupo Fundosa tiene actualmente o espera adquirir una participación del 50%. </w:t>
      </w:r>
    </w:p>
    <w:p w:rsidR="002E4D21" w:rsidRPr="003D54DD" w:rsidRDefault="002E4D21" w:rsidP="002E4D21">
      <w:pPr>
        <w:pStyle w:val="Textoindependiente"/>
        <w:ind w:left="360"/>
        <w:jc w:val="both"/>
        <w:rPr>
          <w:rFonts w:cs="Arial"/>
          <w:b w:val="0"/>
          <w:sz w:val="24"/>
          <w:szCs w:val="24"/>
        </w:rPr>
      </w:pPr>
    </w:p>
    <w:p w:rsidR="002E4D21" w:rsidRPr="003D54DD" w:rsidRDefault="002E4D21" w:rsidP="00865401">
      <w:pPr>
        <w:pStyle w:val="Textoindependiente"/>
        <w:numPr>
          <w:ilvl w:val="0"/>
          <w:numId w:val="5"/>
        </w:numPr>
        <w:jc w:val="both"/>
        <w:rPr>
          <w:rFonts w:cs="Arial"/>
          <w:b w:val="0"/>
          <w:sz w:val="24"/>
          <w:szCs w:val="24"/>
        </w:rPr>
      </w:pPr>
      <w:r w:rsidRPr="003D54DD">
        <w:rPr>
          <w:rFonts w:cs="Arial"/>
          <w:b w:val="0"/>
          <w:sz w:val="24"/>
          <w:szCs w:val="24"/>
        </w:rPr>
        <w:t>Se eliminan los márgenes por operaciones intercompañías, así como la participación en el resultado de los accionistas minoritarios.</w:t>
      </w:r>
    </w:p>
    <w:p w:rsidR="002E4D21" w:rsidRPr="003D54DD" w:rsidRDefault="002E4D21" w:rsidP="002E4D21">
      <w:pPr>
        <w:pStyle w:val="Textoindependiente"/>
        <w:ind w:left="360"/>
        <w:jc w:val="both"/>
        <w:rPr>
          <w:rFonts w:cs="Arial"/>
          <w:b w:val="0"/>
          <w:sz w:val="24"/>
          <w:szCs w:val="24"/>
        </w:rPr>
      </w:pPr>
    </w:p>
    <w:p w:rsidR="002E4D21" w:rsidRPr="003D54DD" w:rsidRDefault="002E4D21" w:rsidP="00865401">
      <w:pPr>
        <w:pStyle w:val="Textoindependiente"/>
        <w:numPr>
          <w:ilvl w:val="0"/>
          <w:numId w:val="7"/>
        </w:numPr>
        <w:jc w:val="both"/>
        <w:rPr>
          <w:rFonts w:cs="Arial"/>
          <w:b w:val="0"/>
          <w:sz w:val="24"/>
          <w:szCs w:val="24"/>
        </w:rPr>
      </w:pPr>
      <w:r w:rsidRPr="003D54DD">
        <w:rPr>
          <w:rFonts w:cs="Arial"/>
          <w:b w:val="0"/>
          <w:sz w:val="24"/>
          <w:szCs w:val="24"/>
        </w:rPr>
        <w:t xml:space="preserve">Sociedades participadas: Se entiende por empresas participadas y se consolidan por el método de puesta en equivalencia, aquellas en las que sin ser sociedades filiales, el Grupo Fundosa ejerce una influencia significativa en su gestión, por tener una participación relevante en ellas. </w:t>
      </w:r>
    </w:p>
    <w:p w:rsidR="002E4D21" w:rsidRPr="003D54DD" w:rsidRDefault="002E4D21" w:rsidP="002E4D21">
      <w:pPr>
        <w:pStyle w:val="Textoindependiente"/>
        <w:jc w:val="both"/>
        <w:rPr>
          <w:rFonts w:cs="Arial"/>
          <w:b w:val="0"/>
          <w:sz w:val="24"/>
          <w:szCs w:val="24"/>
        </w:rPr>
      </w:pPr>
    </w:p>
    <w:p w:rsidR="002E4D21" w:rsidRPr="003D54DD" w:rsidRDefault="002E4D21" w:rsidP="002E4D21">
      <w:pPr>
        <w:pStyle w:val="Textoindependiente"/>
        <w:jc w:val="both"/>
        <w:rPr>
          <w:rFonts w:cs="Arial"/>
          <w:b w:val="0"/>
          <w:sz w:val="24"/>
          <w:szCs w:val="24"/>
        </w:rPr>
      </w:pPr>
    </w:p>
    <w:p w:rsidR="002E4D21" w:rsidRPr="003D54DD" w:rsidRDefault="002E4D21" w:rsidP="002E4D21">
      <w:pPr>
        <w:pStyle w:val="Textoindependiente"/>
        <w:jc w:val="both"/>
        <w:rPr>
          <w:rFonts w:cs="Arial"/>
          <w:b w:val="0"/>
          <w:sz w:val="24"/>
          <w:szCs w:val="24"/>
        </w:rPr>
      </w:pPr>
      <w:r w:rsidRPr="003D54DD">
        <w:rPr>
          <w:rFonts w:cs="Arial"/>
          <w:b w:val="0"/>
          <w:sz w:val="24"/>
          <w:szCs w:val="24"/>
        </w:rPr>
        <w:t>A 1 de enero de 201</w:t>
      </w:r>
      <w:r w:rsidR="00BC5817" w:rsidRPr="003D54DD">
        <w:rPr>
          <w:rFonts w:cs="Arial"/>
          <w:b w:val="0"/>
          <w:sz w:val="24"/>
          <w:szCs w:val="24"/>
        </w:rPr>
        <w:t>4</w:t>
      </w:r>
      <w:r w:rsidRPr="003D54DD">
        <w:rPr>
          <w:rFonts w:cs="Arial"/>
          <w:b w:val="0"/>
          <w:sz w:val="24"/>
          <w:szCs w:val="24"/>
        </w:rPr>
        <w:t xml:space="preserve"> se parte de </w:t>
      </w:r>
      <w:r w:rsidR="00FA22B4" w:rsidRPr="003D54DD">
        <w:rPr>
          <w:rFonts w:cs="Arial"/>
          <w:b w:val="0"/>
          <w:sz w:val="24"/>
          <w:szCs w:val="24"/>
        </w:rPr>
        <w:t>63</w:t>
      </w:r>
      <w:r w:rsidRPr="003D54DD">
        <w:rPr>
          <w:rFonts w:cs="Arial"/>
          <w:b w:val="0"/>
          <w:sz w:val="24"/>
          <w:szCs w:val="24"/>
        </w:rPr>
        <w:t xml:space="preserve"> sociedades, </w:t>
      </w:r>
      <w:r w:rsidR="00FA22B4" w:rsidRPr="003D54DD">
        <w:rPr>
          <w:rFonts w:cs="Arial"/>
          <w:b w:val="0"/>
          <w:sz w:val="24"/>
          <w:szCs w:val="24"/>
        </w:rPr>
        <w:t>40</w:t>
      </w:r>
      <w:r w:rsidRPr="003D54DD">
        <w:rPr>
          <w:rFonts w:cs="Arial"/>
          <w:b w:val="0"/>
          <w:sz w:val="24"/>
          <w:szCs w:val="24"/>
        </w:rPr>
        <w:t xml:space="preserve"> sociedades filiales y </w:t>
      </w:r>
      <w:r w:rsidR="00FA22B4" w:rsidRPr="003D54DD">
        <w:rPr>
          <w:rFonts w:cs="Arial"/>
          <w:b w:val="0"/>
          <w:sz w:val="24"/>
          <w:szCs w:val="24"/>
        </w:rPr>
        <w:t>23</w:t>
      </w:r>
      <w:r w:rsidRPr="003D54DD">
        <w:rPr>
          <w:rFonts w:cs="Arial"/>
          <w:b w:val="0"/>
          <w:sz w:val="24"/>
          <w:szCs w:val="24"/>
        </w:rPr>
        <w:t xml:space="preserve"> participadas. </w:t>
      </w:r>
    </w:p>
    <w:p w:rsidR="002E4D21" w:rsidRPr="003D54DD" w:rsidRDefault="002E4D21" w:rsidP="002E4D21">
      <w:pPr>
        <w:pStyle w:val="Textoindependiente"/>
        <w:jc w:val="both"/>
        <w:rPr>
          <w:rFonts w:cs="Arial"/>
          <w:b w:val="0"/>
          <w:sz w:val="24"/>
          <w:szCs w:val="24"/>
        </w:rPr>
      </w:pPr>
    </w:p>
    <w:p w:rsidR="002E4D21" w:rsidRPr="003D54DD" w:rsidRDefault="002E4D21" w:rsidP="002E4D21">
      <w:pPr>
        <w:pStyle w:val="Textoindependiente"/>
        <w:jc w:val="both"/>
        <w:rPr>
          <w:rFonts w:cs="Arial"/>
          <w:b w:val="0"/>
          <w:sz w:val="24"/>
          <w:szCs w:val="24"/>
        </w:rPr>
      </w:pPr>
      <w:r w:rsidRPr="003D54DD">
        <w:rPr>
          <w:rFonts w:cs="Arial"/>
          <w:b w:val="0"/>
          <w:sz w:val="24"/>
          <w:szCs w:val="24"/>
        </w:rPr>
        <w:t>Durante el primer semestre de 201</w:t>
      </w:r>
      <w:r w:rsidR="00BC5817" w:rsidRPr="003D54DD">
        <w:rPr>
          <w:rFonts w:cs="Arial"/>
          <w:b w:val="0"/>
          <w:sz w:val="24"/>
          <w:szCs w:val="24"/>
        </w:rPr>
        <w:t>4</w:t>
      </w:r>
      <w:r w:rsidRPr="003D54DD">
        <w:rPr>
          <w:rFonts w:cs="Arial"/>
          <w:b w:val="0"/>
          <w:sz w:val="24"/>
          <w:szCs w:val="24"/>
        </w:rPr>
        <w:t xml:space="preserve"> se han producido las siguientes variaciones en el perímetro empresarial:</w:t>
      </w:r>
    </w:p>
    <w:p w:rsidR="002E4D21" w:rsidRPr="003D54DD" w:rsidRDefault="002E4D21" w:rsidP="002E4D21">
      <w:pPr>
        <w:pStyle w:val="Textoindependiente"/>
        <w:ind w:left="1080"/>
        <w:jc w:val="both"/>
        <w:rPr>
          <w:rFonts w:cs="Arial"/>
          <w:b w:val="0"/>
          <w:sz w:val="24"/>
          <w:szCs w:val="24"/>
        </w:rPr>
      </w:pPr>
    </w:p>
    <w:p w:rsidR="002E4D21" w:rsidRPr="003D54DD" w:rsidRDefault="002E4D21" w:rsidP="00865401">
      <w:pPr>
        <w:pStyle w:val="Textoindependiente"/>
        <w:numPr>
          <w:ilvl w:val="0"/>
          <w:numId w:val="7"/>
        </w:numPr>
        <w:jc w:val="both"/>
        <w:rPr>
          <w:rFonts w:cs="Arial"/>
          <w:b w:val="0"/>
          <w:sz w:val="24"/>
          <w:szCs w:val="24"/>
        </w:rPr>
      </w:pPr>
      <w:r w:rsidRPr="003D54DD">
        <w:rPr>
          <w:rFonts w:cs="Arial"/>
          <w:b w:val="0"/>
          <w:sz w:val="24"/>
          <w:szCs w:val="24"/>
        </w:rPr>
        <w:t>Sociedades filiales:</w:t>
      </w:r>
    </w:p>
    <w:p w:rsidR="002E4D21" w:rsidRPr="003D54DD" w:rsidRDefault="002E4D21" w:rsidP="002E4D21">
      <w:pPr>
        <w:pStyle w:val="Textoindependiente"/>
        <w:ind w:left="720"/>
        <w:jc w:val="both"/>
        <w:rPr>
          <w:rFonts w:cs="Arial"/>
          <w:b w:val="0"/>
          <w:strike/>
          <w:sz w:val="24"/>
          <w:szCs w:val="24"/>
        </w:rPr>
      </w:pPr>
    </w:p>
    <w:p w:rsidR="002E4D21" w:rsidRPr="003D54DD" w:rsidRDefault="002E4D21" w:rsidP="00865401">
      <w:pPr>
        <w:pStyle w:val="Textoindependiente"/>
        <w:numPr>
          <w:ilvl w:val="0"/>
          <w:numId w:val="6"/>
        </w:numPr>
        <w:autoSpaceDE w:val="0"/>
        <w:autoSpaceDN w:val="0"/>
        <w:adjustRightInd w:val="0"/>
        <w:jc w:val="both"/>
        <w:rPr>
          <w:rFonts w:cs="Arial"/>
          <w:b w:val="0"/>
          <w:sz w:val="24"/>
          <w:szCs w:val="24"/>
        </w:rPr>
      </w:pPr>
      <w:r w:rsidRPr="003D54DD">
        <w:rPr>
          <w:rFonts w:cs="Arial"/>
          <w:b w:val="0"/>
          <w:sz w:val="24"/>
          <w:szCs w:val="24"/>
        </w:rPr>
        <w:t xml:space="preserve">El </w:t>
      </w:r>
      <w:r w:rsidR="00FA22B4" w:rsidRPr="003D54DD">
        <w:rPr>
          <w:rFonts w:cs="Arial"/>
          <w:b w:val="0"/>
          <w:sz w:val="24"/>
          <w:szCs w:val="24"/>
        </w:rPr>
        <w:t>13 de enero se amplía la participación de la sociedad participada Clintex Lavandería Industrial, S.L. hasta el 50%, pasando a considerarse filial</w:t>
      </w:r>
      <w:r w:rsidRPr="003D54DD">
        <w:rPr>
          <w:rFonts w:cs="Arial"/>
          <w:b w:val="0"/>
          <w:sz w:val="24"/>
          <w:szCs w:val="24"/>
        </w:rPr>
        <w:t>.</w:t>
      </w:r>
    </w:p>
    <w:p w:rsidR="00FA22B4" w:rsidRPr="003D54DD" w:rsidRDefault="00FA22B4" w:rsidP="00FA22B4">
      <w:pPr>
        <w:pStyle w:val="Textoindependiente"/>
        <w:autoSpaceDE w:val="0"/>
        <w:autoSpaceDN w:val="0"/>
        <w:adjustRightInd w:val="0"/>
        <w:ind w:left="720"/>
        <w:jc w:val="both"/>
        <w:rPr>
          <w:rFonts w:cs="Arial"/>
          <w:b w:val="0"/>
          <w:sz w:val="24"/>
          <w:szCs w:val="24"/>
        </w:rPr>
      </w:pPr>
    </w:p>
    <w:p w:rsidR="00FA22B4" w:rsidRPr="003D54DD" w:rsidRDefault="00FA22B4" w:rsidP="00865401">
      <w:pPr>
        <w:pStyle w:val="Textoindependiente"/>
        <w:numPr>
          <w:ilvl w:val="0"/>
          <w:numId w:val="6"/>
        </w:numPr>
        <w:autoSpaceDE w:val="0"/>
        <w:autoSpaceDN w:val="0"/>
        <w:adjustRightInd w:val="0"/>
        <w:jc w:val="both"/>
        <w:rPr>
          <w:rFonts w:cs="Arial"/>
          <w:b w:val="0"/>
          <w:sz w:val="24"/>
          <w:szCs w:val="24"/>
        </w:rPr>
      </w:pPr>
      <w:r w:rsidRPr="003D54DD">
        <w:rPr>
          <w:rFonts w:cs="Arial"/>
          <w:b w:val="0"/>
          <w:sz w:val="24"/>
          <w:szCs w:val="24"/>
        </w:rPr>
        <w:t>El 27 de febrero se constituye la sociedad Agendaalfacema, L.D.A. con un capital social de 3.000 euros con el objetivo de operar en Portugal.</w:t>
      </w:r>
    </w:p>
    <w:p w:rsidR="002E4D21" w:rsidRPr="003D54DD" w:rsidRDefault="002E4D21" w:rsidP="002E4D21">
      <w:pPr>
        <w:pStyle w:val="Textoindependiente"/>
        <w:ind w:left="720"/>
        <w:jc w:val="both"/>
        <w:rPr>
          <w:rFonts w:cs="Arial"/>
          <w:b w:val="0"/>
          <w:sz w:val="24"/>
          <w:szCs w:val="24"/>
        </w:rPr>
      </w:pPr>
    </w:p>
    <w:p w:rsidR="002E4D21" w:rsidRPr="003D54DD" w:rsidRDefault="002E4D21" w:rsidP="00865401">
      <w:pPr>
        <w:pStyle w:val="Textoindependiente"/>
        <w:numPr>
          <w:ilvl w:val="0"/>
          <w:numId w:val="7"/>
        </w:numPr>
        <w:jc w:val="both"/>
        <w:rPr>
          <w:rFonts w:cs="Arial"/>
          <w:b w:val="0"/>
          <w:sz w:val="24"/>
          <w:szCs w:val="24"/>
        </w:rPr>
      </w:pPr>
      <w:r w:rsidRPr="003D54DD">
        <w:rPr>
          <w:rFonts w:cs="Arial"/>
          <w:b w:val="0"/>
          <w:sz w:val="24"/>
          <w:szCs w:val="24"/>
        </w:rPr>
        <w:t xml:space="preserve">Sociedades participadas: </w:t>
      </w:r>
      <w:r w:rsidR="00F62E70" w:rsidRPr="003D54DD">
        <w:rPr>
          <w:rFonts w:cs="Arial"/>
          <w:b w:val="0"/>
          <w:sz w:val="24"/>
          <w:szCs w:val="24"/>
        </w:rPr>
        <w:t>Como ya se ha indicado, debido al aumento de la participación accionarial en la sociedad Clintex Lavandería Industrial hasta alcanzar el 50%, esta sociedad deja de considerarse participada, integrándose proporcionalmente a partir de 2014.</w:t>
      </w:r>
    </w:p>
    <w:p w:rsidR="002E4D21" w:rsidRPr="003D54DD" w:rsidRDefault="002E4D21" w:rsidP="002E4D21">
      <w:pPr>
        <w:jc w:val="both"/>
        <w:rPr>
          <w:rFonts w:cs="Arial"/>
          <w:szCs w:val="24"/>
        </w:rPr>
      </w:pPr>
    </w:p>
    <w:p w:rsidR="002E4D21" w:rsidRPr="003D54DD" w:rsidRDefault="00DB2344" w:rsidP="002E4D21">
      <w:pPr>
        <w:jc w:val="both"/>
        <w:rPr>
          <w:rFonts w:cs="Arial"/>
          <w:szCs w:val="24"/>
        </w:rPr>
      </w:pPr>
      <w:r w:rsidRPr="003D54DD">
        <w:rPr>
          <w:rFonts w:cs="Arial"/>
          <w:szCs w:val="24"/>
        </w:rPr>
        <w:br w:type="page"/>
      </w:r>
      <w:r w:rsidR="002E4D21" w:rsidRPr="003D54DD">
        <w:rPr>
          <w:rFonts w:cs="Arial"/>
          <w:szCs w:val="24"/>
        </w:rPr>
        <w:lastRenderedPageBreak/>
        <w:t>Durante el segundo semestre de 201</w:t>
      </w:r>
      <w:r w:rsidR="00BC5817" w:rsidRPr="003D54DD">
        <w:rPr>
          <w:rFonts w:cs="Arial"/>
          <w:szCs w:val="24"/>
        </w:rPr>
        <w:t>4</w:t>
      </w:r>
      <w:r w:rsidR="002E4D21" w:rsidRPr="003D54DD">
        <w:rPr>
          <w:rFonts w:cs="Arial"/>
          <w:szCs w:val="24"/>
        </w:rPr>
        <w:t>, se han realizado las siguientes operaciones:</w:t>
      </w:r>
    </w:p>
    <w:p w:rsidR="002E4D21" w:rsidRPr="003D54DD" w:rsidRDefault="002E4D21" w:rsidP="002E4D21">
      <w:pPr>
        <w:ind w:left="1080"/>
        <w:jc w:val="both"/>
        <w:rPr>
          <w:rFonts w:cs="Arial"/>
          <w:szCs w:val="24"/>
        </w:rPr>
      </w:pPr>
    </w:p>
    <w:p w:rsidR="002E4D21" w:rsidRPr="003D54DD" w:rsidRDefault="002E4D21" w:rsidP="00865401">
      <w:pPr>
        <w:numPr>
          <w:ilvl w:val="0"/>
          <w:numId w:val="9"/>
        </w:numPr>
        <w:autoSpaceDE w:val="0"/>
        <w:autoSpaceDN w:val="0"/>
        <w:adjustRightInd w:val="0"/>
        <w:jc w:val="both"/>
        <w:rPr>
          <w:rFonts w:cs="Arial"/>
          <w:szCs w:val="24"/>
        </w:rPr>
      </w:pPr>
      <w:r w:rsidRPr="003D54DD">
        <w:rPr>
          <w:rFonts w:cs="Arial"/>
          <w:szCs w:val="24"/>
        </w:rPr>
        <w:t>Sociedades filiales:</w:t>
      </w:r>
    </w:p>
    <w:p w:rsidR="002E4D21" w:rsidRPr="003D54DD" w:rsidRDefault="002E4D21" w:rsidP="002E4D21">
      <w:pPr>
        <w:pStyle w:val="Textoindependiente"/>
        <w:jc w:val="both"/>
        <w:rPr>
          <w:rFonts w:cs="Arial"/>
          <w:b w:val="0"/>
          <w:sz w:val="24"/>
          <w:szCs w:val="24"/>
        </w:rPr>
      </w:pPr>
    </w:p>
    <w:p w:rsidR="00FA22B4" w:rsidRPr="003D54DD" w:rsidRDefault="00FA22B4" w:rsidP="00865401">
      <w:pPr>
        <w:pStyle w:val="Textoindependiente"/>
        <w:numPr>
          <w:ilvl w:val="0"/>
          <w:numId w:val="6"/>
        </w:numPr>
        <w:autoSpaceDE w:val="0"/>
        <w:autoSpaceDN w:val="0"/>
        <w:adjustRightInd w:val="0"/>
        <w:jc w:val="both"/>
        <w:rPr>
          <w:rFonts w:cs="Arial"/>
          <w:b w:val="0"/>
          <w:sz w:val="24"/>
          <w:szCs w:val="24"/>
        </w:rPr>
      </w:pPr>
      <w:r w:rsidRPr="003D54DD">
        <w:rPr>
          <w:rFonts w:cs="Arial"/>
          <w:b w:val="0"/>
          <w:sz w:val="24"/>
          <w:szCs w:val="24"/>
        </w:rPr>
        <w:t>El 24 de julio se amplía la participación en la sociedad Servicios Sociales de Lavandería, S.L. (Laveco) pasando del 51% al 90%.</w:t>
      </w:r>
    </w:p>
    <w:p w:rsidR="00F62E70" w:rsidRPr="003D54DD" w:rsidRDefault="00F62E70" w:rsidP="00F62E70">
      <w:pPr>
        <w:pStyle w:val="Textoindependiente"/>
        <w:autoSpaceDE w:val="0"/>
        <w:autoSpaceDN w:val="0"/>
        <w:adjustRightInd w:val="0"/>
        <w:ind w:left="720"/>
        <w:jc w:val="both"/>
        <w:rPr>
          <w:rFonts w:cs="Arial"/>
          <w:b w:val="0"/>
          <w:sz w:val="24"/>
          <w:szCs w:val="24"/>
        </w:rPr>
      </w:pPr>
    </w:p>
    <w:p w:rsidR="00F62E70" w:rsidRPr="003D54DD" w:rsidRDefault="00F62E70" w:rsidP="00865401">
      <w:pPr>
        <w:pStyle w:val="Textoindependiente"/>
        <w:numPr>
          <w:ilvl w:val="0"/>
          <w:numId w:val="6"/>
        </w:numPr>
        <w:autoSpaceDE w:val="0"/>
        <w:autoSpaceDN w:val="0"/>
        <w:adjustRightInd w:val="0"/>
        <w:jc w:val="both"/>
        <w:rPr>
          <w:rFonts w:cs="Arial"/>
          <w:b w:val="0"/>
          <w:sz w:val="24"/>
          <w:szCs w:val="24"/>
        </w:rPr>
      </w:pPr>
      <w:r w:rsidRPr="003D54DD">
        <w:rPr>
          <w:rFonts w:cs="Arial"/>
          <w:b w:val="0"/>
          <w:sz w:val="24"/>
          <w:szCs w:val="24"/>
        </w:rPr>
        <w:t>El 31 de julio se constituye la sociedad Fundosa Servicios Industriales de Aragón, S.L., con un capital social de 3.000 euros.</w:t>
      </w:r>
    </w:p>
    <w:p w:rsidR="002E4D21" w:rsidRPr="003D54DD" w:rsidRDefault="002E4D21" w:rsidP="002E4D21">
      <w:pPr>
        <w:pStyle w:val="Textoindependiente"/>
        <w:ind w:left="720"/>
        <w:jc w:val="both"/>
        <w:rPr>
          <w:rFonts w:cs="Arial"/>
          <w:b w:val="0"/>
          <w:strike/>
          <w:sz w:val="24"/>
          <w:szCs w:val="24"/>
        </w:rPr>
      </w:pPr>
    </w:p>
    <w:p w:rsidR="002E4D21" w:rsidRPr="003D54DD" w:rsidRDefault="002E4D21" w:rsidP="00865401">
      <w:pPr>
        <w:numPr>
          <w:ilvl w:val="0"/>
          <w:numId w:val="10"/>
        </w:numPr>
        <w:autoSpaceDE w:val="0"/>
        <w:autoSpaceDN w:val="0"/>
        <w:adjustRightInd w:val="0"/>
        <w:jc w:val="both"/>
        <w:rPr>
          <w:rFonts w:cs="Arial"/>
          <w:szCs w:val="24"/>
        </w:rPr>
      </w:pPr>
      <w:r w:rsidRPr="003D54DD">
        <w:rPr>
          <w:rFonts w:cs="Arial"/>
          <w:szCs w:val="24"/>
        </w:rPr>
        <w:t xml:space="preserve">Sociedades participadas: </w:t>
      </w:r>
      <w:r w:rsidR="005F1B65" w:rsidRPr="003D54DD">
        <w:rPr>
          <w:rFonts w:cs="Arial"/>
          <w:szCs w:val="24"/>
        </w:rPr>
        <w:t>No se espera ninguna variación.</w:t>
      </w:r>
    </w:p>
    <w:p w:rsidR="002E4D21" w:rsidRPr="003D54DD" w:rsidRDefault="002E4D21" w:rsidP="002E4D21">
      <w:pPr>
        <w:ind w:left="360"/>
        <w:jc w:val="both"/>
        <w:rPr>
          <w:rFonts w:cs="Arial"/>
          <w:szCs w:val="24"/>
        </w:rPr>
      </w:pPr>
    </w:p>
    <w:p w:rsidR="002E4D21" w:rsidRPr="003D54DD" w:rsidRDefault="002E4D21" w:rsidP="002E4D21">
      <w:pPr>
        <w:jc w:val="both"/>
        <w:rPr>
          <w:rFonts w:cs="Arial"/>
          <w:szCs w:val="24"/>
        </w:rPr>
      </w:pPr>
      <w:r w:rsidRPr="003D54DD">
        <w:rPr>
          <w:rFonts w:cs="Arial"/>
          <w:szCs w:val="24"/>
        </w:rPr>
        <w:t>Para el ejercicio 201</w:t>
      </w:r>
      <w:r w:rsidR="00BC5817" w:rsidRPr="003D54DD">
        <w:rPr>
          <w:rFonts w:cs="Arial"/>
          <w:szCs w:val="24"/>
        </w:rPr>
        <w:t>5</w:t>
      </w:r>
      <w:r w:rsidRPr="003D54DD">
        <w:rPr>
          <w:rFonts w:cs="Arial"/>
          <w:szCs w:val="24"/>
        </w:rPr>
        <w:t>, se prevén las siguientes operaciones:</w:t>
      </w:r>
    </w:p>
    <w:p w:rsidR="002E4D21" w:rsidRPr="003D54DD" w:rsidRDefault="002E4D21" w:rsidP="002E4D21">
      <w:pPr>
        <w:pStyle w:val="Textoindependiente"/>
        <w:ind w:left="1080"/>
        <w:jc w:val="both"/>
        <w:rPr>
          <w:rFonts w:cs="Arial"/>
          <w:b w:val="0"/>
          <w:sz w:val="24"/>
          <w:szCs w:val="24"/>
        </w:rPr>
      </w:pPr>
    </w:p>
    <w:p w:rsidR="002E4D21" w:rsidRPr="003D54DD" w:rsidRDefault="002E4D21" w:rsidP="00865401">
      <w:pPr>
        <w:pStyle w:val="Textoindependiente"/>
        <w:numPr>
          <w:ilvl w:val="0"/>
          <w:numId w:val="11"/>
        </w:numPr>
        <w:jc w:val="both"/>
        <w:rPr>
          <w:rFonts w:cs="Arial"/>
          <w:b w:val="0"/>
          <w:sz w:val="24"/>
          <w:szCs w:val="24"/>
        </w:rPr>
      </w:pPr>
      <w:r w:rsidRPr="003D54DD">
        <w:rPr>
          <w:rFonts w:cs="Arial"/>
          <w:b w:val="0"/>
          <w:sz w:val="24"/>
          <w:szCs w:val="24"/>
        </w:rPr>
        <w:t>Sociedades filiales:</w:t>
      </w:r>
    </w:p>
    <w:p w:rsidR="002E4D21" w:rsidRPr="003D54DD" w:rsidRDefault="002E4D21" w:rsidP="002E4D21">
      <w:pPr>
        <w:pStyle w:val="Textoindependiente"/>
        <w:jc w:val="both"/>
        <w:rPr>
          <w:rFonts w:cs="Arial"/>
          <w:b w:val="0"/>
          <w:sz w:val="24"/>
          <w:szCs w:val="24"/>
        </w:rPr>
      </w:pPr>
    </w:p>
    <w:p w:rsidR="005F1B65" w:rsidRPr="003D54DD" w:rsidRDefault="002E4D21" w:rsidP="00865401">
      <w:pPr>
        <w:pStyle w:val="Textoindependiente"/>
        <w:numPr>
          <w:ilvl w:val="0"/>
          <w:numId w:val="6"/>
        </w:numPr>
        <w:autoSpaceDE w:val="0"/>
        <w:autoSpaceDN w:val="0"/>
        <w:adjustRightInd w:val="0"/>
        <w:jc w:val="both"/>
        <w:rPr>
          <w:rFonts w:cs="Arial"/>
          <w:b w:val="0"/>
          <w:sz w:val="24"/>
          <w:szCs w:val="24"/>
        </w:rPr>
      </w:pPr>
      <w:r w:rsidRPr="003D54DD">
        <w:rPr>
          <w:rFonts w:cs="Arial"/>
          <w:b w:val="0"/>
          <w:sz w:val="24"/>
          <w:szCs w:val="24"/>
        </w:rPr>
        <w:t>Se prevé la adquisición de una participación del 50% de una sociedad dedi</w:t>
      </w:r>
      <w:r w:rsidR="005F1B65" w:rsidRPr="003D54DD">
        <w:rPr>
          <w:rFonts w:cs="Arial"/>
          <w:b w:val="0"/>
          <w:sz w:val="24"/>
          <w:szCs w:val="24"/>
        </w:rPr>
        <w:t>cada a la lavandería industrial, valorándose en la actualidad distintas opciones.</w:t>
      </w:r>
      <w:r w:rsidRPr="003D54DD">
        <w:rPr>
          <w:rFonts w:cs="Arial"/>
          <w:b w:val="0"/>
          <w:sz w:val="24"/>
          <w:szCs w:val="24"/>
        </w:rPr>
        <w:t xml:space="preserve"> </w:t>
      </w:r>
    </w:p>
    <w:p w:rsidR="005F1B65" w:rsidRPr="003D54DD" w:rsidRDefault="005F1B65" w:rsidP="005F1B65">
      <w:pPr>
        <w:pStyle w:val="Textoindependiente"/>
        <w:autoSpaceDE w:val="0"/>
        <w:autoSpaceDN w:val="0"/>
        <w:adjustRightInd w:val="0"/>
        <w:ind w:left="720"/>
        <w:jc w:val="both"/>
        <w:rPr>
          <w:rFonts w:cs="Arial"/>
          <w:b w:val="0"/>
          <w:sz w:val="24"/>
          <w:szCs w:val="24"/>
        </w:rPr>
      </w:pPr>
    </w:p>
    <w:p w:rsidR="002D6B1F" w:rsidRPr="003D54DD" w:rsidRDefault="002E4D21" w:rsidP="002D6B1F">
      <w:pPr>
        <w:pStyle w:val="Textoindependiente"/>
        <w:numPr>
          <w:ilvl w:val="0"/>
          <w:numId w:val="6"/>
        </w:numPr>
        <w:autoSpaceDE w:val="0"/>
        <w:autoSpaceDN w:val="0"/>
        <w:adjustRightInd w:val="0"/>
        <w:jc w:val="both"/>
        <w:rPr>
          <w:rFonts w:cs="Arial"/>
          <w:b w:val="0"/>
          <w:sz w:val="24"/>
          <w:szCs w:val="24"/>
        </w:rPr>
      </w:pPr>
      <w:r w:rsidRPr="003D54DD">
        <w:rPr>
          <w:rFonts w:cs="Arial"/>
          <w:b w:val="0"/>
          <w:sz w:val="24"/>
          <w:szCs w:val="24"/>
        </w:rPr>
        <w:t>Asimismo, el Grupo F</w:t>
      </w:r>
      <w:r w:rsidR="005F1B65" w:rsidRPr="003D54DD">
        <w:rPr>
          <w:rFonts w:cs="Arial"/>
          <w:b w:val="0"/>
          <w:sz w:val="24"/>
          <w:szCs w:val="24"/>
        </w:rPr>
        <w:t>undosa</w:t>
      </w:r>
      <w:r w:rsidRPr="003D54DD">
        <w:rPr>
          <w:rFonts w:cs="Arial"/>
          <w:b w:val="0"/>
          <w:sz w:val="24"/>
          <w:szCs w:val="24"/>
        </w:rPr>
        <w:t xml:space="preserve"> está analizando la posible constitución de sociedades para el desarrollo de sus proyectos internacionales</w:t>
      </w:r>
      <w:r w:rsidR="002D6B1F">
        <w:rPr>
          <w:rFonts w:cs="Arial"/>
          <w:b w:val="0"/>
          <w:sz w:val="24"/>
          <w:szCs w:val="24"/>
        </w:rPr>
        <w:t>, si bien en el perímetro previsto en los presupuestos de 2015 no se incluyen nuevas participaciones por este concepto</w:t>
      </w:r>
      <w:r w:rsidR="002D6B1F" w:rsidRPr="003D54DD">
        <w:rPr>
          <w:rFonts w:cs="Arial"/>
          <w:b w:val="0"/>
          <w:sz w:val="24"/>
          <w:szCs w:val="24"/>
        </w:rPr>
        <w:t>.</w:t>
      </w:r>
    </w:p>
    <w:p w:rsidR="002E4D21" w:rsidRPr="003D54DD" w:rsidRDefault="002E4D21" w:rsidP="002E4D21">
      <w:pPr>
        <w:jc w:val="both"/>
        <w:rPr>
          <w:rFonts w:cs="Arial"/>
          <w:szCs w:val="24"/>
          <w:highlight w:val="yellow"/>
        </w:rPr>
      </w:pPr>
    </w:p>
    <w:p w:rsidR="002E4D21" w:rsidRPr="003D54DD" w:rsidRDefault="002E4D21" w:rsidP="00865401">
      <w:pPr>
        <w:pStyle w:val="Textoindependiente"/>
        <w:numPr>
          <w:ilvl w:val="0"/>
          <w:numId w:val="11"/>
        </w:numPr>
        <w:jc w:val="both"/>
        <w:rPr>
          <w:rFonts w:cs="Arial"/>
          <w:b w:val="0"/>
          <w:sz w:val="24"/>
          <w:szCs w:val="24"/>
        </w:rPr>
      </w:pPr>
      <w:r w:rsidRPr="003D54DD">
        <w:rPr>
          <w:rFonts w:cs="Arial"/>
          <w:b w:val="0"/>
          <w:sz w:val="24"/>
          <w:szCs w:val="24"/>
        </w:rPr>
        <w:t xml:space="preserve">Sociedades participadas: </w:t>
      </w:r>
      <w:r w:rsidR="00023BDD">
        <w:rPr>
          <w:rFonts w:cs="Arial"/>
          <w:b w:val="0"/>
          <w:sz w:val="24"/>
          <w:szCs w:val="24"/>
        </w:rPr>
        <w:t>Se ha previsto la salida de la sociedad Miton sin efecto en resultados ni en tesorería.</w:t>
      </w:r>
    </w:p>
    <w:p w:rsidR="002E4D21" w:rsidRPr="003D54DD" w:rsidRDefault="002E4D21" w:rsidP="002E4D21">
      <w:pPr>
        <w:pStyle w:val="Textoindependiente"/>
        <w:ind w:left="360"/>
        <w:jc w:val="both"/>
        <w:rPr>
          <w:rFonts w:cs="Arial"/>
          <w:b w:val="0"/>
          <w:sz w:val="24"/>
          <w:szCs w:val="24"/>
        </w:rPr>
      </w:pPr>
    </w:p>
    <w:p w:rsidR="002E4D21" w:rsidRPr="003D54DD" w:rsidRDefault="002E4D21" w:rsidP="002E4D21">
      <w:pPr>
        <w:pStyle w:val="Textoindependiente"/>
        <w:ind w:left="360"/>
        <w:jc w:val="both"/>
        <w:rPr>
          <w:rFonts w:cs="Arial"/>
          <w:b w:val="0"/>
          <w:sz w:val="24"/>
          <w:szCs w:val="24"/>
        </w:rPr>
      </w:pPr>
    </w:p>
    <w:p w:rsidR="002E4D21" w:rsidRPr="003D54DD" w:rsidRDefault="002E4D21" w:rsidP="002E4D21">
      <w:pPr>
        <w:jc w:val="both"/>
        <w:rPr>
          <w:rFonts w:cs="Arial"/>
          <w:szCs w:val="24"/>
        </w:rPr>
      </w:pPr>
      <w:r w:rsidRPr="003D54DD">
        <w:rPr>
          <w:rFonts w:cs="Arial"/>
          <w:szCs w:val="24"/>
        </w:rPr>
        <w:t>Por todo ello, el perímetro empresarial a 31 de diciembre de 201</w:t>
      </w:r>
      <w:r w:rsidR="00BC5817" w:rsidRPr="003D54DD">
        <w:rPr>
          <w:rFonts w:cs="Arial"/>
          <w:szCs w:val="24"/>
        </w:rPr>
        <w:t>5</w:t>
      </w:r>
      <w:r w:rsidRPr="003D54DD">
        <w:rPr>
          <w:rFonts w:cs="Arial"/>
          <w:szCs w:val="24"/>
        </w:rPr>
        <w:t xml:space="preserve"> será de 6</w:t>
      </w:r>
      <w:r w:rsidR="00655B3D">
        <w:rPr>
          <w:rFonts w:cs="Arial"/>
          <w:szCs w:val="24"/>
        </w:rPr>
        <w:t>5</w:t>
      </w:r>
      <w:r w:rsidRPr="003D54DD">
        <w:rPr>
          <w:rFonts w:cs="Arial"/>
          <w:szCs w:val="24"/>
        </w:rPr>
        <w:t xml:space="preserve"> sociedades, 4</w:t>
      </w:r>
      <w:r w:rsidR="005F1B65" w:rsidRPr="003D54DD">
        <w:rPr>
          <w:rFonts w:cs="Arial"/>
          <w:szCs w:val="24"/>
        </w:rPr>
        <w:t>4</w:t>
      </w:r>
      <w:r w:rsidRPr="003D54DD">
        <w:rPr>
          <w:rFonts w:cs="Arial"/>
          <w:szCs w:val="24"/>
        </w:rPr>
        <w:t xml:space="preserve"> empresas filiales y 2</w:t>
      </w:r>
      <w:r w:rsidR="00655B3D">
        <w:rPr>
          <w:rFonts w:cs="Arial"/>
          <w:szCs w:val="24"/>
        </w:rPr>
        <w:t>1</w:t>
      </w:r>
      <w:r w:rsidRPr="003D54DD">
        <w:rPr>
          <w:rFonts w:cs="Arial"/>
          <w:szCs w:val="24"/>
        </w:rPr>
        <w:t xml:space="preserve"> participadas. En estas magnitudes no se han considerado las posibles fusiones a realizar entre empresas filiales, con el objeto de realizar una simplificación societaria del Grupo Fundosa.</w:t>
      </w:r>
    </w:p>
    <w:p w:rsidR="002E4D21" w:rsidRPr="003D54DD" w:rsidRDefault="002E4D21" w:rsidP="002E4D21">
      <w:pPr>
        <w:pStyle w:val="Sangradetextonormal"/>
        <w:ind w:left="0"/>
        <w:jc w:val="both"/>
        <w:rPr>
          <w:rFonts w:cs="Arial"/>
          <w:szCs w:val="24"/>
          <w:u w:val="single"/>
        </w:rPr>
      </w:pPr>
    </w:p>
    <w:p w:rsidR="002E4D21" w:rsidRPr="003D54DD" w:rsidRDefault="002E4D21" w:rsidP="00DB2344">
      <w:pPr>
        <w:jc w:val="both"/>
        <w:rPr>
          <w:rFonts w:cs="Arial"/>
          <w:b/>
          <w:szCs w:val="24"/>
        </w:rPr>
      </w:pPr>
      <w:r w:rsidRPr="003D54DD">
        <w:rPr>
          <w:rFonts w:cs="Arial"/>
          <w:szCs w:val="24"/>
        </w:rPr>
        <w:t>El Anexo I recoge las sociedades que conforman el perímetro empresarial en 201</w:t>
      </w:r>
      <w:r w:rsidR="00BC5817" w:rsidRPr="003D54DD">
        <w:rPr>
          <w:rFonts w:cs="Arial"/>
          <w:szCs w:val="24"/>
        </w:rPr>
        <w:t>5</w:t>
      </w:r>
      <w:r w:rsidRPr="003D54DD">
        <w:rPr>
          <w:rFonts w:cs="Arial"/>
          <w:szCs w:val="24"/>
        </w:rPr>
        <w:t xml:space="preserve"> y su agrupación a efectos de presentación y explicación de las principales magnitudes.</w:t>
      </w:r>
    </w:p>
    <w:p w:rsidR="002E4D21" w:rsidRPr="003D54DD" w:rsidRDefault="002E4D21" w:rsidP="002E4D21">
      <w:pPr>
        <w:pStyle w:val="Textoindependiente"/>
        <w:jc w:val="both"/>
        <w:rPr>
          <w:rFonts w:cs="Arial"/>
          <w:b w:val="0"/>
          <w:sz w:val="24"/>
          <w:szCs w:val="24"/>
        </w:rPr>
      </w:pPr>
    </w:p>
    <w:p w:rsidR="00E8581E" w:rsidRPr="00BF7448" w:rsidRDefault="002E4D21" w:rsidP="00865401">
      <w:pPr>
        <w:pStyle w:val="Ttulo1"/>
        <w:numPr>
          <w:ilvl w:val="0"/>
          <w:numId w:val="3"/>
        </w:numPr>
        <w:spacing w:before="0" w:after="0"/>
        <w:rPr>
          <w:color w:val="016FB8"/>
          <w:sz w:val="28"/>
          <w:szCs w:val="28"/>
          <w:u w:val="single"/>
        </w:rPr>
      </w:pPr>
      <w:r w:rsidRPr="003D54DD">
        <w:rPr>
          <w:sz w:val="28"/>
          <w:szCs w:val="28"/>
          <w:u w:val="single"/>
        </w:rPr>
        <w:br w:type="page"/>
      </w:r>
      <w:bookmarkStart w:id="11" w:name="_Toc403984299"/>
      <w:r w:rsidR="00E8581E" w:rsidRPr="00BF7448">
        <w:rPr>
          <w:color w:val="016FB8"/>
          <w:sz w:val="28"/>
          <w:szCs w:val="28"/>
          <w:u w:val="single"/>
        </w:rPr>
        <w:lastRenderedPageBreak/>
        <w:t>GRANDES EJES DE ACTUACIÓN</w:t>
      </w:r>
      <w:bookmarkEnd w:id="10"/>
      <w:bookmarkEnd w:id="11"/>
    </w:p>
    <w:p w:rsidR="003A2029" w:rsidRPr="003D54DD" w:rsidRDefault="003A2029" w:rsidP="00C1411B">
      <w:pPr>
        <w:jc w:val="both"/>
        <w:rPr>
          <w:rFonts w:cs="Arial"/>
          <w:szCs w:val="24"/>
        </w:rPr>
      </w:pPr>
    </w:p>
    <w:p w:rsidR="00221C41" w:rsidRPr="003D54DD" w:rsidRDefault="00BC5817" w:rsidP="00221C41">
      <w:pPr>
        <w:jc w:val="both"/>
        <w:rPr>
          <w:rFonts w:cs="Arial"/>
          <w:szCs w:val="24"/>
        </w:rPr>
      </w:pPr>
      <w:bookmarkStart w:id="12" w:name="_Toc213647534"/>
      <w:r w:rsidRPr="003D54DD">
        <w:rPr>
          <w:rFonts w:cs="Arial"/>
          <w:szCs w:val="24"/>
        </w:rPr>
        <w:t>El</w:t>
      </w:r>
      <w:r w:rsidR="00221C41" w:rsidRPr="003D54DD">
        <w:rPr>
          <w:rFonts w:cs="Arial"/>
          <w:szCs w:val="24"/>
        </w:rPr>
        <w:t xml:space="preserve"> Grupo Fundosa se plantea las siguientes líneas presupuestarias y objetivos para el ejercicio 201</w:t>
      </w:r>
      <w:r w:rsidRPr="003D54DD">
        <w:rPr>
          <w:rFonts w:cs="Arial"/>
          <w:szCs w:val="24"/>
        </w:rPr>
        <w:t>5</w:t>
      </w:r>
      <w:r w:rsidR="00221C41" w:rsidRPr="003D54DD">
        <w:rPr>
          <w:rFonts w:cs="Arial"/>
          <w:szCs w:val="24"/>
        </w:rPr>
        <w:t>.</w:t>
      </w:r>
    </w:p>
    <w:p w:rsidR="00221C41" w:rsidRPr="003D54DD" w:rsidRDefault="00221C41" w:rsidP="00221C41">
      <w:pPr>
        <w:jc w:val="both"/>
        <w:rPr>
          <w:rFonts w:cs="Arial"/>
          <w:szCs w:val="24"/>
        </w:rPr>
      </w:pPr>
    </w:p>
    <w:p w:rsidR="00221C41" w:rsidRPr="00BF7448" w:rsidRDefault="00221C41" w:rsidP="00865401">
      <w:pPr>
        <w:pStyle w:val="Ttulo2"/>
        <w:numPr>
          <w:ilvl w:val="1"/>
          <w:numId w:val="3"/>
        </w:numPr>
        <w:tabs>
          <w:tab w:val="clear" w:pos="1080"/>
          <w:tab w:val="num" w:pos="360"/>
        </w:tabs>
        <w:spacing w:before="0" w:after="0"/>
        <w:ind w:left="360"/>
        <w:jc w:val="both"/>
        <w:rPr>
          <w:i w:val="0"/>
          <w:color w:val="016FB8"/>
          <w:sz w:val="24"/>
          <w:szCs w:val="24"/>
          <w:u w:val="single"/>
        </w:rPr>
      </w:pPr>
      <w:bookmarkStart w:id="13" w:name="_Toc403984300"/>
      <w:r w:rsidRPr="00BF7448">
        <w:rPr>
          <w:i w:val="0"/>
          <w:color w:val="016FB8"/>
          <w:sz w:val="24"/>
          <w:szCs w:val="24"/>
          <w:u w:val="single"/>
        </w:rPr>
        <w:t>Rentabilidad económica</w:t>
      </w:r>
      <w:bookmarkEnd w:id="13"/>
    </w:p>
    <w:p w:rsidR="00221C41" w:rsidRPr="003D54DD" w:rsidRDefault="00221C41" w:rsidP="00221C41">
      <w:pPr>
        <w:jc w:val="both"/>
        <w:rPr>
          <w:rFonts w:cs="Arial"/>
          <w:szCs w:val="24"/>
        </w:rPr>
      </w:pPr>
    </w:p>
    <w:p w:rsidR="00661F31" w:rsidRPr="003D54DD" w:rsidRDefault="00661F31" w:rsidP="00661F31">
      <w:pPr>
        <w:jc w:val="both"/>
        <w:rPr>
          <w:rFonts w:cs="Arial"/>
          <w:szCs w:val="24"/>
        </w:rPr>
      </w:pPr>
      <w:r w:rsidRPr="003D54DD">
        <w:rPr>
          <w:rFonts w:cs="Arial"/>
          <w:szCs w:val="24"/>
        </w:rPr>
        <w:t>La rentabilidad económica de los negocios se instrumenta como el vehículo para la sostenibilidad del Grupo y de su fin social. Las empresas deben, de forma general, buscar su sostenibilidad económica, ser rentables y competitivas, para además mantener en el tiempo su aportación social. Para ello, se plantean objetivos y actuaciones de crecimiento para generar nuevos recursos y más empleo de calidad para personas con discapacidad.</w:t>
      </w:r>
    </w:p>
    <w:p w:rsidR="00661F31" w:rsidRPr="003D54DD" w:rsidRDefault="00661F31" w:rsidP="00661F31">
      <w:pPr>
        <w:tabs>
          <w:tab w:val="left" w:pos="1470"/>
        </w:tabs>
        <w:jc w:val="both"/>
        <w:rPr>
          <w:szCs w:val="24"/>
        </w:rPr>
      </w:pPr>
    </w:p>
    <w:p w:rsidR="00DB2344" w:rsidRPr="003D54DD" w:rsidRDefault="00DB2344" w:rsidP="00250ABD">
      <w:pPr>
        <w:pStyle w:val="Body1"/>
        <w:spacing w:after="0" w:line="240" w:lineRule="auto"/>
        <w:ind w:left="284"/>
        <w:jc w:val="both"/>
        <w:rPr>
          <w:rFonts w:ascii="Arial" w:hAnsi="Arial" w:cs="Arial"/>
          <w:color w:val="auto"/>
          <w:sz w:val="24"/>
          <w:szCs w:val="24"/>
        </w:rPr>
      </w:pPr>
    </w:p>
    <w:p w:rsidR="00221C41" w:rsidRPr="00BF7448" w:rsidRDefault="00221C41" w:rsidP="00865401">
      <w:pPr>
        <w:pStyle w:val="Ttulo2"/>
        <w:numPr>
          <w:ilvl w:val="1"/>
          <w:numId w:val="3"/>
        </w:numPr>
        <w:tabs>
          <w:tab w:val="clear" w:pos="1080"/>
          <w:tab w:val="num" w:pos="360"/>
        </w:tabs>
        <w:spacing w:before="0" w:after="0"/>
        <w:ind w:left="360"/>
        <w:jc w:val="both"/>
        <w:rPr>
          <w:i w:val="0"/>
          <w:color w:val="016FB8"/>
          <w:sz w:val="24"/>
          <w:szCs w:val="24"/>
          <w:u w:val="single"/>
        </w:rPr>
      </w:pPr>
      <w:bookmarkStart w:id="14" w:name="_Toc403984301"/>
      <w:r w:rsidRPr="00BF7448">
        <w:rPr>
          <w:i w:val="0"/>
          <w:color w:val="016FB8"/>
          <w:sz w:val="24"/>
          <w:szCs w:val="24"/>
          <w:u w:val="single"/>
        </w:rPr>
        <w:t>Rentabilidad social</w:t>
      </w:r>
      <w:r w:rsidR="000B018A">
        <w:rPr>
          <w:i w:val="0"/>
          <w:color w:val="016FB8"/>
          <w:sz w:val="24"/>
          <w:szCs w:val="24"/>
          <w:u w:val="single"/>
        </w:rPr>
        <w:t xml:space="preserve"> y política de Recursos Humanos</w:t>
      </w:r>
      <w:bookmarkEnd w:id="14"/>
    </w:p>
    <w:p w:rsidR="00221C41" w:rsidRPr="003D54DD" w:rsidRDefault="00221C41" w:rsidP="00221C41">
      <w:pPr>
        <w:pStyle w:val="Body1"/>
        <w:spacing w:after="0" w:line="240" w:lineRule="auto"/>
        <w:ind w:left="284"/>
        <w:jc w:val="both"/>
        <w:rPr>
          <w:rFonts w:ascii="Arial" w:hAnsi="Arial" w:cs="Arial"/>
          <w:color w:val="auto"/>
          <w:sz w:val="24"/>
          <w:szCs w:val="24"/>
        </w:rPr>
      </w:pPr>
      <w:r w:rsidRPr="00AF7D63">
        <w:rPr>
          <w:rFonts w:ascii="Arial" w:hAnsi="Arial" w:cs="Arial"/>
          <w:color w:val="auto"/>
          <w:sz w:val="24"/>
          <w:szCs w:val="24"/>
        </w:rPr>
        <w:t xml:space="preserve"> </w:t>
      </w:r>
    </w:p>
    <w:p w:rsidR="00221139" w:rsidRPr="00017423" w:rsidRDefault="00221139" w:rsidP="00221139">
      <w:pPr>
        <w:jc w:val="both"/>
        <w:rPr>
          <w:rFonts w:cs="Arial"/>
          <w:szCs w:val="24"/>
        </w:rPr>
      </w:pPr>
      <w:r w:rsidRPr="00017423">
        <w:rPr>
          <w:rFonts w:cs="Arial"/>
          <w:szCs w:val="24"/>
        </w:rPr>
        <w:t>El Grupo Fundosa continúa apostando por mejorar los principales ratios en los que se basa su rentabilidad social: La creación de empleo para personas con discapacidad y la mejora del porcentaje de trabajadores con discapacidad.</w:t>
      </w:r>
    </w:p>
    <w:p w:rsidR="00221139" w:rsidRPr="00017423" w:rsidRDefault="00221139" w:rsidP="00221139">
      <w:pPr>
        <w:jc w:val="both"/>
        <w:rPr>
          <w:rFonts w:cs="Arial"/>
          <w:szCs w:val="24"/>
        </w:rPr>
      </w:pPr>
    </w:p>
    <w:p w:rsidR="00221139" w:rsidRPr="00017423" w:rsidRDefault="00221139" w:rsidP="00221139">
      <w:pPr>
        <w:jc w:val="both"/>
        <w:rPr>
          <w:szCs w:val="24"/>
        </w:rPr>
      </w:pPr>
      <w:r w:rsidRPr="00017423">
        <w:rPr>
          <w:rFonts w:cs="Arial"/>
          <w:bCs/>
          <w:szCs w:val="24"/>
          <w:lang w:val="es-ES"/>
        </w:rPr>
        <w:t>El cumplimiento de la función social para la integración laboral de las personas con discapacidad, se lleva a cabo sobre la base del reconocimiento de las competencias profesionales, y con el convencimiento de que la aportación social de los negocios debe ser un elemento de apoyo diferencial importante para un mejor posicionamiento externo y una mejora de la rentabilidad económica.</w:t>
      </w:r>
    </w:p>
    <w:p w:rsidR="00221139" w:rsidRPr="00017423" w:rsidRDefault="00221139" w:rsidP="00221139">
      <w:pPr>
        <w:tabs>
          <w:tab w:val="left" w:pos="1470"/>
        </w:tabs>
        <w:jc w:val="both"/>
        <w:rPr>
          <w:szCs w:val="24"/>
        </w:rPr>
      </w:pPr>
    </w:p>
    <w:p w:rsidR="00221139" w:rsidRPr="00017423" w:rsidRDefault="00221139" w:rsidP="00221139">
      <w:pPr>
        <w:tabs>
          <w:tab w:val="left" w:pos="1470"/>
        </w:tabs>
        <w:jc w:val="both"/>
        <w:rPr>
          <w:szCs w:val="24"/>
        </w:rPr>
      </w:pPr>
      <w:r w:rsidRPr="00017423">
        <w:rPr>
          <w:szCs w:val="24"/>
        </w:rPr>
        <w:t>Durante el 2015 el liderazgo bajo una única Dirección Corporativa de las áreas de recursos humanos supondrá la optimización de políticas, programas y proyectos confluyentes a la consecución del objetivo social de incrementar el número de personas con discapacidad en general, y personas afiliadas en particular, en todas las empresas.</w:t>
      </w:r>
    </w:p>
    <w:p w:rsidR="00221139" w:rsidRPr="00017423" w:rsidRDefault="00221139" w:rsidP="00221139">
      <w:pPr>
        <w:jc w:val="both"/>
        <w:rPr>
          <w:rFonts w:cs="Arial"/>
          <w:bCs/>
          <w:szCs w:val="24"/>
        </w:rPr>
      </w:pPr>
    </w:p>
    <w:p w:rsidR="00221139" w:rsidRPr="00017423" w:rsidRDefault="00221139" w:rsidP="00221139">
      <w:pPr>
        <w:jc w:val="both"/>
        <w:rPr>
          <w:rFonts w:cs="Arial"/>
          <w:bCs/>
          <w:szCs w:val="24"/>
        </w:rPr>
      </w:pPr>
      <w:r w:rsidRPr="00017423">
        <w:rPr>
          <w:rFonts w:cs="Arial"/>
          <w:bCs/>
          <w:szCs w:val="24"/>
        </w:rPr>
        <w:t>Para el 2015 se mantendrá la política de Recursos Humanos, siendo las tres líneas de actuación principales a continuar las siguientes:</w:t>
      </w:r>
    </w:p>
    <w:p w:rsidR="00221139" w:rsidRPr="00017423" w:rsidRDefault="00221139" w:rsidP="00221139">
      <w:pPr>
        <w:jc w:val="both"/>
        <w:rPr>
          <w:rFonts w:cs="Arial"/>
          <w:bCs/>
          <w:szCs w:val="24"/>
        </w:rPr>
      </w:pPr>
    </w:p>
    <w:p w:rsidR="00221139" w:rsidRPr="00017423" w:rsidRDefault="00221139" w:rsidP="00221139">
      <w:pPr>
        <w:pStyle w:val="Prrafodelista"/>
        <w:numPr>
          <w:ilvl w:val="0"/>
          <w:numId w:val="17"/>
        </w:numPr>
        <w:contextualSpacing/>
        <w:jc w:val="both"/>
        <w:rPr>
          <w:rFonts w:cs="Arial"/>
          <w:bCs/>
          <w:szCs w:val="24"/>
        </w:rPr>
      </w:pPr>
      <w:r>
        <w:rPr>
          <w:szCs w:val="24"/>
        </w:rPr>
        <w:t xml:space="preserve">Continuidad en el desarrollo de una Política de </w:t>
      </w:r>
      <w:r w:rsidRPr="00017423">
        <w:rPr>
          <w:rFonts w:cs="Arial"/>
          <w:bCs/>
          <w:szCs w:val="24"/>
        </w:rPr>
        <w:t xml:space="preserve">RRHH </w:t>
      </w:r>
      <w:r>
        <w:rPr>
          <w:rFonts w:cs="Arial"/>
          <w:bCs/>
          <w:szCs w:val="24"/>
        </w:rPr>
        <w:t xml:space="preserve">común </w:t>
      </w:r>
      <w:r w:rsidRPr="00017423">
        <w:rPr>
          <w:rFonts w:cs="Arial"/>
          <w:bCs/>
          <w:szCs w:val="24"/>
        </w:rPr>
        <w:t xml:space="preserve">de los dos Grupos Empresariales </w:t>
      </w:r>
      <w:r>
        <w:rPr>
          <w:rFonts w:cs="Arial"/>
          <w:bCs/>
          <w:szCs w:val="24"/>
        </w:rPr>
        <w:t xml:space="preserve">(ILUNION), </w:t>
      </w:r>
      <w:r w:rsidRPr="00017423">
        <w:rPr>
          <w:rFonts w:cs="Arial"/>
          <w:bCs/>
          <w:szCs w:val="24"/>
        </w:rPr>
        <w:t>en las principales áreas de actuación:</w:t>
      </w:r>
    </w:p>
    <w:p w:rsidR="00221139" w:rsidRPr="00017423" w:rsidRDefault="00221139" w:rsidP="00221139">
      <w:pPr>
        <w:ind w:left="428"/>
        <w:jc w:val="both"/>
        <w:rPr>
          <w:rFonts w:cs="Arial"/>
          <w:bCs/>
          <w:szCs w:val="24"/>
        </w:rPr>
      </w:pPr>
    </w:p>
    <w:p w:rsidR="00221139" w:rsidRPr="00017423" w:rsidRDefault="00221139" w:rsidP="00221139">
      <w:pPr>
        <w:numPr>
          <w:ilvl w:val="0"/>
          <w:numId w:val="16"/>
        </w:numPr>
        <w:jc w:val="both"/>
        <w:rPr>
          <w:rFonts w:cs="Arial"/>
          <w:bCs/>
          <w:szCs w:val="24"/>
        </w:rPr>
      </w:pPr>
      <w:r w:rsidRPr="00017423">
        <w:t>Unificación</w:t>
      </w:r>
      <w:r w:rsidRPr="00017423">
        <w:rPr>
          <w:rFonts w:cs="Arial"/>
          <w:bCs/>
          <w:szCs w:val="24"/>
        </w:rPr>
        <w:t xml:space="preserve"> de políticas, procesos</w:t>
      </w:r>
      <w:r>
        <w:rPr>
          <w:rFonts w:cs="Arial"/>
          <w:bCs/>
          <w:szCs w:val="24"/>
        </w:rPr>
        <w:t xml:space="preserve">, normativa </w:t>
      </w:r>
      <w:r w:rsidRPr="00017423">
        <w:rPr>
          <w:rFonts w:cs="Arial"/>
          <w:bCs/>
          <w:szCs w:val="24"/>
        </w:rPr>
        <w:t>y procedimientos.</w:t>
      </w:r>
    </w:p>
    <w:p w:rsidR="00221139" w:rsidRPr="00017423" w:rsidRDefault="00221139" w:rsidP="00221139">
      <w:pPr>
        <w:ind w:left="644"/>
        <w:jc w:val="both"/>
        <w:rPr>
          <w:rFonts w:cs="Arial"/>
          <w:bCs/>
          <w:szCs w:val="24"/>
        </w:rPr>
      </w:pPr>
    </w:p>
    <w:p w:rsidR="00221139" w:rsidRDefault="00221139" w:rsidP="00221139">
      <w:pPr>
        <w:numPr>
          <w:ilvl w:val="0"/>
          <w:numId w:val="16"/>
        </w:numPr>
        <w:jc w:val="both"/>
        <w:rPr>
          <w:rFonts w:cs="Arial"/>
          <w:bCs/>
          <w:szCs w:val="24"/>
        </w:rPr>
      </w:pPr>
      <w:r w:rsidRPr="00017423">
        <w:t>Optimización</w:t>
      </w:r>
      <w:r w:rsidRPr="00017423">
        <w:rPr>
          <w:rFonts w:cs="Arial"/>
          <w:bCs/>
          <w:szCs w:val="24"/>
        </w:rPr>
        <w:t xml:space="preserve"> de procesos y procedimientos </w:t>
      </w:r>
      <w:r>
        <w:rPr>
          <w:rFonts w:cs="Arial"/>
          <w:bCs/>
          <w:szCs w:val="24"/>
        </w:rPr>
        <w:t>a través de la unificación d</w:t>
      </w:r>
      <w:r w:rsidRPr="00017423">
        <w:rPr>
          <w:rFonts w:cs="Arial"/>
          <w:bCs/>
          <w:szCs w:val="24"/>
        </w:rPr>
        <w:t>el servicio del Centro de Servicios Compartidos de RRHH, que será único para ambos grupos.</w:t>
      </w:r>
    </w:p>
    <w:p w:rsidR="00221139" w:rsidRDefault="00221139" w:rsidP="00221139">
      <w:pPr>
        <w:pStyle w:val="Prrafodelista"/>
        <w:rPr>
          <w:rFonts w:cs="Arial"/>
          <w:bCs/>
          <w:szCs w:val="24"/>
        </w:rPr>
      </w:pPr>
    </w:p>
    <w:p w:rsidR="00221139" w:rsidRPr="00017423" w:rsidRDefault="00221139" w:rsidP="00221139">
      <w:pPr>
        <w:pStyle w:val="Prrafodelista"/>
        <w:numPr>
          <w:ilvl w:val="0"/>
          <w:numId w:val="17"/>
        </w:numPr>
        <w:contextualSpacing/>
        <w:jc w:val="both"/>
        <w:rPr>
          <w:rFonts w:cs="Arial"/>
          <w:bCs/>
          <w:szCs w:val="24"/>
        </w:rPr>
      </w:pPr>
      <w:r w:rsidRPr="00017423">
        <w:rPr>
          <w:szCs w:val="24"/>
        </w:rPr>
        <w:lastRenderedPageBreak/>
        <w:t>Incremento</w:t>
      </w:r>
      <w:r w:rsidRPr="00017423">
        <w:rPr>
          <w:rFonts w:cs="Arial"/>
          <w:bCs/>
          <w:szCs w:val="24"/>
        </w:rPr>
        <w:t xml:space="preserve"> del empleo y de la empleabilidad de personas con discapacidad mediante:</w:t>
      </w:r>
    </w:p>
    <w:p w:rsidR="00221139" w:rsidRPr="00017423" w:rsidRDefault="00221139" w:rsidP="00221139">
      <w:pPr>
        <w:jc w:val="both"/>
        <w:rPr>
          <w:rFonts w:cs="Arial"/>
          <w:bCs/>
          <w:szCs w:val="24"/>
        </w:rPr>
      </w:pPr>
    </w:p>
    <w:p w:rsidR="00221139" w:rsidRPr="00017423" w:rsidRDefault="00221139" w:rsidP="00221139">
      <w:pPr>
        <w:numPr>
          <w:ilvl w:val="0"/>
          <w:numId w:val="16"/>
        </w:numPr>
        <w:jc w:val="both"/>
        <w:rPr>
          <w:rFonts w:cs="Arial"/>
          <w:bCs/>
          <w:szCs w:val="24"/>
        </w:rPr>
      </w:pPr>
      <w:r w:rsidRPr="00017423">
        <w:t>Crecimiento</w:t>
      </w:r>
      <w:r w:rsidRPr="00017423">
        <w:rPr>
          <w:rFonts w:cs="Arial"/>
          <w:bCs/>
          <w:szCs w:val="24"/>
        </w:rPr>
        <w:t xml:space="preserve"> en número </w:t>
      </w:r>
      <w:r>
        <w:rPr>
          <w:rFonts w:cs="Arial"/>
          <w:bCs/>
          <w:szCs w:val="24"/>
        </w:rPr>
        <w:t xml:space="preserve">y porcentaje de </w:t>
      </w:r>
      <w:r w:rsidRPr="00017423">
        <w:rPr>
          <w:rFonts w:cs="Arial"/>
          <w:bCs/>
          <w:szCs w:val="24"/>
        </w:rPr>
        <w:t xml:space="preserve">trabajadores con discapacidad </w:t>
      </w:r>
      <w:r>
        <w:rPr>
          <w:rFonts w:cs="Arial"/>
          <w:bCs/>
          <w:szCs w:val="24"/>
        </w:rPr>
        <w:t>en la plantilla y continuidad en las políticas favorecedoras de la</w:t>
      </w:r>
      <w:r w:rsidRPr="00017423">
        <w:rPr>
          <w:rFonts w:cs="Arial"/>
          <w:bCs/>
          <w:szCs w:val="24"/>
        </w:rPr>
        <w:t xml:space="preserve"> estabilidad en el empleo.</w:t>
      </w:r>
    </w:p>
    <w:p w:rsidR="00221139" w:rsidRPr="00017423" w:rsidRDefault="00221139" w:rsidP="00221139">
      <w:pPr>
        <w:ind w:left="644"/>
        <w:jc w:val="both"/>
        <w:rPr>
          <w:rFonts w:cs="Arial"/>
          <w:bCs/>
          <w:szCs w:val="24"/>
        </w:rPr>
      </w:pPr>
    </w:p>
    <w:p w:rsidR="00221139" w:rsidRPr="00017423" w:rsidRDefault="00221139" w:rsidP="00221139">
      <w:pPr>
        <w:numPr>
          <w:ilvl w:val="0"/>
          <w:numId w:val="16"/>
        </w:numPr>
        <w:jc w:val="both"/>
        <w:rPr>
          <w:rFonts w:cs="Arial"/>
          <w:bCs/>
          <w:szCs w:val="24"/>
        </w:rPr>
      </w:pPr>
      <w:r>
        <w:t>Puesta en marcha  de actuaciones formativas que impulsen, principalmente,  el desarrollo profesional</w:t>
      </w:r>
      <w:r w:rsidRPr="00017423">
        <w:rPr>
          <w:rFonts w:cs="Arial"/>
          <w:bCs/>
          <w:szCs w:val="24"/>
        </w:rPr>
        <w:t xml:space="preserve"> de </w:t>
      </w:r>
      <w:r>
        <w:rPr>
          <w:rFonts w:cs="Arial"/>
          <w:bCs/>
          <w:szCs w:val="24"/>
        </w:rPr>
        <w:t>personas afiliadas,</w:t>
      </w:r>
      <w:r w:rsidRPr="00017423">
        <w:rPr>
          <w:rFonts w:cs="Arial"/>
          <w:bCs/>
          <w:szCs w:val="24"/>
        </w:rPr>
        <w:t xml:space="preserve"> persona</w:t>
      </w:r>
      <w:r>
        <w:rPr>
          <w:rFonts w:cs="Arial"/>
          <w:bCs/>
          <w:szCs w:val="24"/>
        </w:rPr>
        <w:t>s con otras discapacidades y que sean favorecedoras de la identificación y desarrollo del talento femenino.</w:t>
      </w:r>
    </w:p>
    <w:p w:rsidR="00221139" w:rsidRPr="00017423" w:rsidRDefault="00221139" w:rsidP="00221139">
      <w:pPr>
        <w:jc w:val="both"/>
        <w:rPr>
          <w:rFonts w:cs="Arial"/>
          <w:bCs/>
          <w:szCs w:val="24"/>
        </w:rPr>
      </w:pPr>
    </w:p>
    <w:p w:rsidR="00221139" w:rsidRPr="00017423" w:rsidRDefault="00221139" w:rsidP="00221139">
      <w:pPr>
        <w:pStyle w:val="Prrafodelista"/>
        <w:numPr>
          <w:ilvl w:val="0"/>
          <w:numId w:val="17"/>
        </w:numPr>
        <w:contextualSpacing/>
        <w:jc w:val="both"/>
        <w:rPr>
          <w:rFonts w:cs="Arial"/>
          <w:bCs/>
          <w:szCs w:val="24"/>
        </w:rPr>
      </w:pPr>
      <w:r w:rsidRPr="00017423">
        <w:rPr>
          <w:szCs w:val="24"/>
        </w:rPr>
        <w:t>Desarrollo</w:t>
      </w:r>
      <w:r w:rsidRPr="00017423">
        <w:rPr>
          <w:rFonts w:cs="Arial"/>
          <w:bCs/>
          <w:szCs w:val="24"/>
        </w:rPr>
        <w:t xml:space="preserve"> de una cultura co</w:t>
      </w:r>
      <w:r>
        <w:rPr>
          <w:rFonts w:cs="Arial"/>
          <w:bCs/>
          <w:szCs w:val="24"/>
        </w:rPr>
        <w:t>rporativa com</w:t>
      </w:r>
      <w:r w:rsidRPr="00017423">
        <w:rPr>
          <w:rFonts w:cs="Arial"/>
          <w:bCs/>
          <w:szCs w:val="24"/>
        </w:rPr>
        <w:t>partida con objetivos comunes:</w:t>
      </w:r>
    </w:p>
    <w:p w:rsidR="00221139" w:rsidRPr="00017423" w:rsidRDefault="00221139" w:rsidP="00221139">
      <w:pPr>
        <w:jc w:val="both"/>
        <w:rPr>
          <w:rFonts w:cs="Arial"/>
          <w:bCs/>
          <w:szCs w:val="24"/>
        </w:rPr>
      </w:pPr>
    </w:p>
    <w:p w:rsidR="00221139" w:rsidRPr="00017423" w:rsidRDefault="00221139" w:rsidP="00221139">
      <w:pPr>
        <w:numPr>
          <w:ilvl w:val="0"/>
          <w:numId w:val="16"/>
        </w:numPr>
        <w:jc w:val="both"/>
        <w:rPr>
          <w:rFonts w:cs="Arial"/>
          <w:bCs/>
          <w:szCs w:val="24"/>
        </w:rPr>
      </w:pPr>
      <w:r w:rsidRPr="00017423">
        <w:t>Transmisión</w:t>
      </w:r>
      <w:r w:rsidRPr="00017423">
        <w:rPr>
          <w:rFonts w:cs="Arial"/>
          <w:bCs/>
          <w:szCs w:val="24"/>
        </w:rPr>
        <w:t xml:space="preserve"> de una cultura institucional co</w:t>
      </w:r>
      <w:r>
        <w:rPr>
          <w:rFonts w:cs="Arial"/>
          <w:bCs/>
          <w:szCs w:val="24"/>
        </w:rPr>
        <w:t>mún y compartida que promueva el conocimiento y la identidad común entorno a la marca única ILUNION.</w:t>
      </w:r>
    </w:p>
    <w:p w:rsidR="00221139" w:rsidRPr="00017423" w:rsidRDefault="00221139" w:rsidP="00221139">
      <w:pPr>
        <w:ind w:left="644"/>
        <w:jc w:val="both"/>
        <w:rPr>
          <w:rFonts w:cs="Arial"/>
          <w:bCs/>
          <w:szCs w:val="24"/>
        </w:rPr>
      </w:pPr>
    </w:p>
    <w:p w:rsidR="00221139" w:rsidRDefault="00221139" w:rsidP="00221139">
      <w:pPr>
        <w:numPr>
          <w:ilvl w:val="0"/>
          <w:numId w:val="16"/>
        </w:numPr>
        <w:jc w:val="both"/>
        <w:rPr>
          <w:rFonts w:cs="Arial"/>
          <w:bCs/>
          <w:szCs w:val="24"/>
        </w:rPr>
      </w:pPr>
      <w:r>
        <w:t xml:space="preserve">Puesta en marcha de un modelo </w:t>
      </w:r>
      <w:r>
        <w:rPr>
          <w:rFonts w:cs="Arial"/>
          <w:bCs/>
          <w:szCs w:val="24"/>
        </w:rPr>
        <w:t>común para la</w:t>
      </w:r>
      <w:r w:rsidRPr="00017423">
        <w:rPr>
          <w:rFonts w:cs="Arial"/>
          <w:bCs/>
          <w:szCs w:val="24"/>
        </w:rPr>
        <w:t xml:space="preserve"> Gestión del Talento </w:t>
      </w:r>
      <w:r>
        <w:rPr>
          <w:rFonts w:cs="Arial"/>
          <w:bCs/>
          <w:szCs w:val="24"/>
        </w:rPr>
        <w:t>de los profesionales de ambos</w:t>
      </w:r>
      <w:r w:rsidRPr="00017423">
        <w:rPr>
          <w:rFonts w:cs="Arial"/>
          <w:bCs/>
          <w:szCs w:val="24"/>
        </w:rPr>
        <w:t xml:space="preserve"> Grupos Empresariales.</w:t>
      </w:r>
    </w:p>
    <w:p w:rsidR="00221139" w:rsidRDefault="00221139" w:rsidP="00221139">
      <w:pPr>
        <w:pStyle w:val="Prrafodelista"/>
        <w:rPr>
          <w:rFonts w:cs="Arial"/>
          <w:bCs/>
          <w:szCs w:val="24"/>
        </w:rPr>
      </w:pPr>
    </w:p>
    <w:p w:rsidR="00221139" w:rsidRPr="00017423" w:rsidRDefault="00221139" w:rsidP="00221139">
      <w:pPr>
        <w:numPr>
          <w:ilvl w:val="0"/>
          <w:numId w:val="16"/>
        </w:numPr>
        <w:jc w:val="both"/>
        <w:rPr>
          <w:rFonts w:cs="Arial"/>
          <w:bCs/>
          <w:szCs w:val="24"/>
        </w:rPr>
      </w:pPr>
      <w:r>
        <w:rPr>
          <w:rFonts w:cs="Arial"/>
          <w:bCs/>
          <w:szCs w:val="24"/>
        </w:rPr>
        <w:t>Continuidad e impulso en el desarrollo de políticas y estrategias sobre igualdad de oportunidades, soportadas sobre un plan estratégico común.</w:t>
      </w:r>
    </w:p>
    <w:p w:rsidR="00221139" w:rsidRPr="00017423" w:rsidRDefault="00221139" w:rsidP="00221139">
      <w:pPr>
        <w:ind w:left="644"/>
        <w:jc w:val="both"/>
        <w:rPr>
          <w:rFonts w:cs="Arial"/>
          <w:bCs/>
          <w:szCs w:val="24"/>
        </w:rPr>
      </w:pPr>
    </w:p>
    <w:p w:rsidR="00221139" w:rsidRDefault="00221139" w:rsidP="00221139">
      <w:pPr>
        <w:numPr>
          <w:ilvl w:val="0"/>
          <w:numId w:val="16"/>
        </w:numPr>
        <w:jc w:val="both"/>
        <w:rPr>
          <w:rFonts w:cs="Arial"/>
          <w:bCs/>
          <w:szCs w:val="24"/>
        </w:rPr>
      </w:pPr>
      <w:r>
        <w:t xml:space="preserve">Desarrollo de un Plan Director en materia de </w:t>
      </w:r>
      <w:r w:rsidRPr="00017423">
        <w:t>Prevención</w:t>
      </w:r>
      <w:r>
        <w:rPr>
          <w:rFonts w:cs="Arial"/>
          <w:bCs/>
          <w:szCs w:val="24"/>
        </w:rPr>
        <w:t xml:space="preserve"> de Riesgos Laborales y Empresa Saludable, en el que se incluirá un conjunto de herramientas y actuaciones que deben permitir la optimización de recursos, tanto humanos como económicos, así como una mayor claridad y eficacia en la gestión de la prevención en nuestras compañías.</w:t>
      </w:r>
    </w:p>
    <w:p w:rsidR="00221139" w:rsidRDefault="00221139" w:rsidP="00221139">
      <w:pPr>
        <w:pStyle w:val="Prrafodelista"/>
        <w:rPr>
          <w:rFonts w:cs="Arial"/>
          <w:bCs/>
          <w:szCs w:val="24"/>
        </w:rPr>
      </w:pPr>
    </w:p>
    <w:p w:rsidR="00221139" w:rsidRPr="0026543C" w:rsidRDefault="00221139" w:rsidP="00221139">
      <w:pPr>
        <w:numPr>
          <w:ilvl w:val="0"/>
          <w:numId w:val="16"/>
        </w:numPr>
        <w:ind w:left="644"/>
        <w:jc w:val="both"/>
        <w:rPr>
          <w:rFonts w:cs="Arial"/>
          <w:bCs/>
          <w:szCs w:val="24"/>
        </w:rPr>
      </w:pPr>
      <w:r w:rsidRPr="0026543C">
        <w:rPr>
          <w:rFonts w:cs="Arial"/>
          <w:bCs/>
          <w:szCs w:val="24"/>
        </w:rPr>
        <w:t>En la medida de lo posible y en el marco de la nueva marca, extenderemos el modelo EFR hacia las empresas más próximas al ámbito corporativo.</w:t>
      </w:r>
    </w:p>
    <w:p w:rsidR="00221139" w:rsidRPr="00017423" w:rsidRDefault="00221139" w:rsidP="00221139">
      <w:pPr>
        <w:jc w:val="both"/>
        <w:rPr>
          <w:rFonts w:cs="Arial"/>
          <w:bCs/>
          <w:szCs w:val="24"/>
        </w:rPr>
      </w:pPr>
    </w:p>
    <w:p w:rsidR="00221139" w:rsidRPr="00017423" w:rsidRDefault="00221139" w:rsidP="00221139">
      <w:pPr>
        <w:jc w:val="both"/>
        <w:rPr>
          <w:rFonts w:cs="Arial"/>
          <w:bCs/>
          <w:szCs w:val="24"/>
        </w:rPr>
      </w:pPr>
      <w:r w:rsidRPr="00017423">
        <w:rPr>
          <w:rFonts w:cs="Arial"/>
          <w:bCs/>
          <w:szCs w:val="24"/>
        </w:rPr>
        <w:t xml:space="preserve">Todo ello contemplado desde un marco de optimización de costes y estructuras. </w:t>
      </w:r>
    </w:p>
    <w:p w:rsidR="006B53B8" w:rsidRDefault="006B53B8" w:rsidP="006B53B8">
      <w:pPr>
        <w:pStyle w:val="Ttulo2"/>
        <w:spacing w:before="0" w:after="0"/>
        <w:ind w:left="360"/>
        <w:jc w:val="both"/>
        <w:rPr>
          <w:i w:val="0"/>
          <w:color w:val="005C54"/>
          <w:sz w:val="24"/>
          <w:szCs w:val="24"/>
          <w:u w:val="single"/>
        </w:rPr>
      </w:pPr>
    </w:p>
    <w:p w:rsidR="00F32195" w:rsidRPr="00F32195" w:rsidRDefault="00F32195" w:rsidP="00F32195"/>
    <w:p w:rsidR="00221C41" w:rsidRPr="00BF7448" w:rsidRDefault="00AD5023" w:rsidP="00865401">
      <w:pPr>
        <w:pStyle w:val="Ttulo2"/>
        <w:numPr>
          <w:ilvl w:val="1"/>
          <w:numId w:val="3"/>
        </w:numPr>
        <w:tabs>
          <w:tab w:val="clear" w:pos="1080"/>
          <w:tab w:val="num" w:pos="360"/>
        </w:tabs>
        <w:spacing w:before="0" w:after="0"/>
        <w:ind w:left="360"/>
        <w:jc w:val="both"/>
        <w:rPr>
          <w:i w:val="0"/>
          <w:color w:val="016FB8"/>
          <w:sz w:val="24"/>
          <w:szCs w:val="24"/>
          <w:u w:val="single"/>
        </w:rPr>
      </w:pPr>
      <w:bookmarkStart w:id="15" w:name="_Toc403984302"/>
      <w:r w:rsidRPr="00BF7448">
        <w:rPr>
          <w:i w:val="0"/>
          <w:color w:val="016FB8"/>
          <w:sz w:val="24"/>
          <w:szCs w:val="24"/>
          <w:u w:val="single"/>
        </w:rPr>
        <w:t>Estrategia comercial</w:t>
      </w:r>
      <w:r w:rsidR="000B018A">
        <w:rPr>
          <w:i w:val="0"/>
          <w:color w:val="016FB8"/>
          <w:sz w:val="24"/>
          <w:szCs w:val="24"/>
          <w:u w:val="single"/>
        </w:rPr>
        <w:t>: Crecimiento, nuevas líneas de negocio, alianzas estratégicas y sinergias de negocio</w:t>
      </w:r>
      <w:bookmarkEnd w:id="15"/>
    </w:p>
    <w:p w:rsidR="009B7549" w:rsidRPr="003D54DD" w:rsidRDefault="009B7549" w:rsidP="009B7549">
      <w:pPr>
        <w:pStyle w:val="Prrafodelista"/>
        <w:ind w:left="720"/>
        <w:contextualSpacing/>
        <w:jc w:val="both"/>
        <w:rPr>
          <w:rFonts w:cs="Arial"/>
          <w:szCs w:val="24"/>
        </w:rPr>
      </w:pPr>
    </w:p>
    <w:p w:rsidR="00AD5023" w:rsidRPr="003D54DD" w:rsidRDefault="00AD5023" w:rsidP="00AD5023">
      <w:pPr>
        <w:jc w:val="both"/>
        <w:rPr>
          <w:rFonts w:cs="Arial"/>
          <w:szCs w:val="24"/>
        </w:rPr>
      </w:pPr>
      <w:r w:rsidRPr="003D54DD">
        <w:rPr>
          <w:rFonts w:cs="Arial"/>
          <w:szCs w:val="24"/>
        </w:rPr>
        <w:t>La estrategia comercial definida se centra en desarrollar actuaciones en favor de las sinergias entre las empresas de los Grupos Empresariales de la ONCE y su Fundación, potenciando la optimización de estructuras y procesos comerciales. Se plantea la necesidad de que exista una estructura y estrategia corporativa única para los Grupos Empresariales, todo ello en colaboración con las diferentes empresas y líneas de negocio.</w:t>
      </w:r>
    </w:p>
    <w:p w:rsidR="00AD5023" w:rsidRPr="003D54DD" w:rsidRDefault="00AD5023" w:rsidP="00AD5023">
      <w:pPr>
        <w:tabs>
          <w:tab w:val="num" w:pos="1440"/>
        </w:tabs>
        <w:jc w:val="both"/>
        <w:rPr>
          <w:rFonts w:cs="Arial"/>
          <w:szCs w:val="24"/>
        </w:rPr>
      </w:pPr>
    </w:p>
    <w:p w:rsidR="00AD5023" w:rsidRPr="003D54DD" w:rsidRDefault="00AD5023" w:rsidP="00AD5023">
      <w:pPr>
        <w:tabs>
          <w:tab w:val="left" w:pos="426"/>
        </w:tabs>
        <w:jc w:val="both"/>
        <w:rPr>
          <w:szCs w:val="24"/>
        </w:rPr>
      </w:pPr>
      <w:r w:rsidRPr="003D54DD">
        <w:rPr>
          <w:szCs w:val="24"/>
        </w:rPr>
        <w:t>Se plantean los siguientes objetivos:</w:t>
      </w:r>
    </w:p>
    <w:p w:rsidR="00AD5023" w:rsidRPr="003D54DD" w:rsidRDefault="00AD5023" w:rsidP="00AD5023">
      <w:pPr>
        <w:tabs>
          <w:tab w:val="left" w:pos="426"/>
        </w:tabs>
        <w:jc w:val="both"/>
        <w:rPr>
          <w:szCs w:val="24"/>
          <w:u w:val="single"/>
        </w:rPr>
      </w:pPr>
    </w:p>
    <w:p w:rsidR="00065044" w:rsidRDefault="00065044" w:rsidP="00865401">
      <w:pPr>
        <w:pStyle w:val="Prrafodelista"/>
        <w:numPr>
          <w:ilvl w:val="0"/>
          <w:numId w:val="17"/>
        </w:numPr>
        <w:contextualSpacing/>
        <w:jc w:val="both"/>
        <w:rPr>
          <w:szCs w:val="24"/>
        </w:rPr>
      </w:pPr>
      <w:r>
        <w:rPr>
          <w:szCs w:val="24"/>
        </w:rPr>
        <w:t xml:space="preserve">Puesta en marcha del </w:t>
      </w:r>
      <w:r w:rsidRPr="00065044">
        <w:rPr>
          <w:szCs w:val="24"/>
          <w:u w:val="single"/>
        </w:rPr>
        <w:t>modelo comercial único</w:t>
      </w:r>
      <w:r>
        <w:rPr>
          <w:szCs w:val="24"/>
        </w:rPr>
        <w:t>: El modelo comercial definido está enfocado en una estructura organizada por sectores y por cuentas, que permitirá captar el potencial de los clientes y fidelizar de una manera eficiente, maximizando sinergias entre sociedades del Grupo.</w:t>
      </w:r>
    </w:p>
    <w:p w:rsidR="00065044" w:rsidRPr="00065044" w:rsidRDefault="00065044" w:rsidP="00065044">
      <w:pPr>
        <w:pStyle w:val="Prrafodelista"/>
        <w:ind w:left="360"/>
        <w:contextualSpacing/>
        <w:jc w:val="both"/>
        <w:rPr>
          <w:szCs w:val="24"/>
        </w:rPr>
      </w:pPr>
    </w:p>
    <w:p w:rsidR="00065044" w:rsidRPr="001862B3" w:rsidRDefault="00065044" w:rsidP="00065044">
      <w:pPr>
        <w:numPr>
          <w:ilvl w:val="0"/>
          <w:numId w:val="17"/>
        </w:numPr>
        <w:jc w:val="both"/>
        <w:rPr>
          <w:rFonts w:cs="Arial"/>
          <w:szCs w:val="24"/>
        </w:rPr>
      </w:pPr>
      <w:r w:rsidRPr="00065044">
        <w:rPr>
          <w:rFonts w:cs="Arial"/>
          <w:szCs w:val="24"/>
        </w:rPr>
        <w:t xml:space="preserve">Se establece como prioritario, la colaboración de las sociedades de los Grupos Empresariales de la ONCE y su Fundación en la identificación de oportunidades y ejecución de </w:t>
      </w:r>
      <w:r w:rsidRPr="00065044">
        <w:rPr>
          <w:rFonts w:cs="Arial"/>
          <w:szCs w:val="24"/>
          <w:u w:val="single"/>
        </w:rPr>
        <w:t xml:space="preserve">proyectos empresariales generadores de empleo para personas con discapacidad </w:t>
      </w:r>
      <w:r w:rsidRPr="00065044">
        <w:rPr>
          <w:rFonts w:cs="Arial"/>
          <w:szCs w:val="24"/>
        </w:rPr>
        <w:t xml:space="preserve">y ratios de rentabilidad razonables, prestando especial atención a las nuevas posibilidades de </w:t>
      </w:r>
      <w:r w:rsidRPr="001862B3">
        <w:rPr>
          <w:rFonts w:cs="Arial"/>
          <w:szCs w:val="24"/>
        </w:rPr>
        <w:t>negocio conjuntas que pudieran surgir en el futuro.</w:t>
      </w:r>
    </w:p>
    <w:p w:rsidR="00065044" w:rsidRPr="001862B3" w:rsidRDefault="00065044" w:rsidP="00065044">
      <w:pPr>
        <w:tabs>
          <w:tab w:val="left" w:pos="1470"/>
        </w:tabs>
        <w:ind w:left="360"/>
        <w:jc w:val="both"/>
        <w:rPr>
          <w:szCs w:val="24"/>
        </w:rPr>
      </w:pPr>
    </w:p>
    <w:p w:rsidR="00F9235E" w:rsidRPr="00F9235E" w:rsidRDefault="00F9235E" w:rsidP="00065044">
      <w:pPr>
        <w:numPr>
          <w:ilvl w:val="0"/>
          <w:numId w:val="17"/>
        </w:numPr>
        <w:jc w:val="both"/>
        <w:rPr>
          <w:color w:val="C00000"/>
          <w:szCs w:val="24"/>
        </w:rPr>
      </w:pPr>
      <w:r>
        <w:rPr>
          <w:szCs w:val="24"/>
        </w:rPr>
        <w:t>S</w:t>
      </w:r>
      <w:r w:rsidR="00065044" w:rsidRPr="001862B3">
        <w:rPr>
          <w:szCs w:val="24"/>
        </w:rPr>
        <w:t xml:space="preserve">e continuará promoviendo el fomento de </w:t>
      </w:r>
      <w:r w:rsidR="001862B3" w:rsidRPr="001862B3">
        <w:rPr>
          <w:szCs w:val="24"/>
          <w:u w:val="single"/>
        </w:rPr>
        <w:t>sinergias entre las sociedades de los Grupos Empresariales</w:t>
      </w:r>
      <w:r w:rsidR="00065044" w:rsidRPr="001862B3">
        <w:rPr>
          <w:szCs w:val="24"/>
        </w:rPr>
        <w:t xml:space="preserve"> que permitan ofertar productos y servicios complementarios entre sí, capaces de construir una mejor oferta comercial en sectores o mercados de interés y la presentación de ofertas comerciales conjuntas a concursos y</w:t>
      </w:r>
      <w:r w:rsidR="001862B3" w:rsidRPr="001862B3">
        <w:rPr>
          <w:szCs w:val="24"/>
        </w:rPr>
        <w:t xml:space="preserve"> demandas de servicios externos</w:t>
      </w:r>
      <w:r w:rsidR="00065044" w:rsidRPr="001862B3">
        <w:rPr>
          <w:szCs w:val="24"/>
        </w:rPr>
        <w:t xml:space="preserve">. </w:t>
      </w:r>
    </w:p>
    <w:p w:rsidR="00F9235E" w:rsidRDefault="00F9235E" w:rsidP="00F9235E">
      <w:pPr>
        <w:pStyle w:val="Prrafodelista"/>
        <w:rPr>
          <w:szCs w:val="24"/>
        </w:rPr>
      </w:pPr>
    </w:p>
    <w:p w:rsidR="00AD5023" w:rsidRPr="00065044" w:rsidRDefault="00AD5023" w:rsidP="00065044">
      <w:pPr>
        <w:numPr>
          <w:ilvl w:val="0"/>
          <w:numId w:val="17"/>
        </w:numPr>
        <w:jc w:val="both"/>
        <w:rPr>
          <w:color w:val="C00000"/>
          <w:szCs w:val="24"/>
        </w:rPr>
      </w:pPr>
      <w:r w:rsidRPr="001862B3">
        <w:rPr>
          <w:szCs w:val="24"/>
        </w:rPr>
        <w:t xml:space="preserve">Asimismo, la explotación de oportunidades de </w:t>
      </w:r>
      <w:r w:rsidRPr="00F9235E">
        <w:rPr>
          <w:szCs w:val="24"/>
          <w:u w:val="single"/>
        </w:rPr>
        <w:t>mercado interno</w:t>
      </w:r>
      <w:r w:rsidRPr="001862B3">
        <w:rPr>
          <w:szCs w:val="24"/>
        </w:rPr>
        <w:t xml:space="preserve"> y la puesta en marcha de proyectos de </w:t>
      </w:r>
      <w:r w:rsidRPr="00F9235E">
        <w:rPr>
          <w:szCs w:val="24"/>
          <w:u w:val="single"/>
        </w:rPr>
        <w:t>diversificación de actividades</w:t>
      </w:r>
      <w:r w:rsidRPr="001862B3">
        <w:rPr>
          <w:szCs w:val="24"/>
        </w:rPr>
        <w:t>, serán instrumentos que permitan la consolidación y el desarrollo futuro de los negocios</w:t>
      </w:r>
      <w:r w:rsidRPr="00065044">
        <w:rPr>
          <w:szCs w:val="24"/>
        </w:rPr>
        <w:t>.</w:t>
      </w:r>
    </w:p>
    <w:p w:rsidR="00AD5023" w:rsidRDefault="00AD5023" w:rsidP="00AD5023">
      <w:pPr>
        <w:pStyle w:val="Prrafodelista"/>
        <w:ind w:left="425"/>
        <w:contextualSpacing/>
        <w:jc w:val="both"/>
        <w:rPr>
          <w:szCs w:val="24"/>
        </w:rPr>
      </w:pPr>
    </w:p>
    <w:p w:rsidR="001862B3" w:rsidRPr="001862B3" w:rsidRDefault="001862B3" w:rsidP="001862B3">
      <w:pPr>
        <w:pStyle w:val="Prrafodelista"/>
        <w:numPr>
          <w:ilvl w:val="0"/>
          <w:numId w:val="17"/>
        </w:numPr>
        <w:contextualSpacing/>
        <w:jc w:val="both"/>
        <w:rPr>
          <w:rFonts w:cs="Arial"/>
          <w:szCs w:val="24"/>
        </w:rPr>
      </w:pPr>
      <w:r w:rsidRPr="001862B3">
        <w:rPr>
          <w:rFonts w:cs="Arial"/>
          <w:szCs w:val="24"/>
        </w:rPr>
        <w:t xml:space="preserve">Se prestará especial atención a la búsqueda de soluciones integrales que generen un mayor valor añadido al cliente e incremente nuestro grado de diferenciación respecto a otros competidores. Para ello se potenciarán, además de las sinergias internas, las </w:t>
      </w:r>
      <w:r w:rsidRPr="001862B3">
        <w:rPr>
          <w:rFonts w:cs="Arial"/>
          <w:szCs w:val="24"/>
          <w:u w:val="single"/>
        </w:rPr>
        <w:t>alianzas con otros grupos empresariales</w:t>
      </w:r>
      <w:r w:rsidRPr="001862B3">
        <w:rPr>
          <w:rFonts w:cs="Arial"/>
          <w:szCs w:val="24"/>
        </w:rPr>
        <w:t xml:space="preserve"> que puedan complementar nuestra gama de productos y servicios. Asimismo, se identificarán y potenciarán alianzas estratégicas con otros grupos empresariales con el objetivo de mejorar nuestro posicionamiento en los sectores de actividad en los que nos hallamos presentes o como herramienta para acelerar la entrada en otros nichos de mercado de alto potencial estratégico o con gran potencial de crecimiento para nuestras empresas.</w:t>
      </w:r>
    </w:p>
    <w:p w:rsidR="001862B3" w:rsidRDefault="001862B3" w:rsidP="001862B3">
      <w:pPr>
        <w:pStyle w:val="Body1"/>
        <w:spacing w:after="0" w:line="240" w:lineRule="auto"/>
        <w:ind w:left="709"/>
        <w:jc w:val="both"/>
        <w:rPr>
          <w:rFonts w:ascii="Arial" w:hAnsi="Arial" w:cs="Arial"/>
          <w:color w:val="auto"/>
          <w:sz w:val="24"/>
          <w:szCs w:val="24"/>
        </w:rPr>
      </w:pPr>
    </w:p>
    <w:p w:rsidR="00AD5023" w:rsidRPr="003D54DD" w:rsidRDefault="00AD5023" w:rsidP="00865401">
      <w:pPr>
        <w:pStyle w:val="Prrafodelista"/>
        <w:numPr>
          <w:ilvl w:val="0"/>
          <w:numId w:val="17"/>
        </w:numPr>
        <w:contextualSpacing/>
        <w:jc w:val="both"/>
        <w:rPr>
          <w:szCs w:val="24"/>
        </w:rPr>
      </w:pPr>
      <w:r w:rsidRPr="003D54DD">
        <w:rPr>
          <w:szCs w:val="24"/>
          <w:u w:val="single"/>
        </w:rPr>
        <w:t>Desarrollo del negocio internacional</w:t>
      </w:r>
      <w:r w:rsidRPr="003D54DD">
        <w:rPr>
          <w:szCs w:val="24"/>
        </w:rPr>
        <w:t xml:space="preserve">. </w:t>
      </w:r>
    </w:p>
    <w:p w:rsidR="00AD5023" w:rsidRPr="003D54DD" w:rsidRDefault="00AD5023" w:rsidP="00AD5023">
      <w:pPr>
        <w:pStyle w:val="Prrafodelista"/>
        <w:ind w:left="0"/>
        <w:jc w:val="both"/>
        <w:rPr>
          <w:rFonts w:cs="Arial"/>
          <w:bCs/>
          <w:szCs w:val="24"/>
        </w:rPr>
      </w:pPr>
    </w:p>
    <w:p w:rsidR="00AD5023" w:rsidRPr="003D54DD" w:rsidRDefault="00AD5023" w:rsidP="00AD5023">
      <w:pPr>
        <w:ind w:left="428"/>
        <w:jc w:val="both"/>
        <w:rPr>
          <w:rFonts w:cs="Arial"/>
          <w:bCs/>
          <w:szCs w:val="24"/>
        </w:rPr>
      </w:pPr>
      <w:r w:rsidRPr="003D54DD">
        <w:rPr>
          <w:rFonts w:cs="Arial"/>
          <w:bCs/>
          <w:szCs w:val="24"/>
        </w:rPr>
        <w:t>El enfoque como grupo de empresas se apoyará en los puntos fuertes que las diferencian y donde se puede aportar valor añadido: Liderazgo en accesibilidad (Vía Libre, Technosite), actividades que permitan la creación de puestos de trabajo en local (Flisa/Alentis/Fucoda/Personalia) y modelo sostenible de inclusión laboral.</w:t>
      </w:r>
    </w:p>
    <w:p w:rsidR="00AD5023" w:rsidRPr="003D54DD" w:rsidRDefault="00AD5023" w:rsidP="00AD5023">
      <w:pPr>
        <w:jc w:val="both"/>
        <w:rPr>
          <w:rFonts w:cs="Arial"/>
          <w:bCs/>
          <w:szCs w:val="24"/>
        </w:rPr>
      </w:pPr>
    </w:p>
    <w:p w:rsidR="00AD5023" w:rsidRPr="003D54DD" w:rsidRDefault="00AD5023" w:rsidP="00AD5023">
      <w:pPr>
        <w:ind w:left="428"/>
        <w:jc w:val="both"/>
        <w:rPr>
          <w:rFonts w:cs="Arial"/>
          <w:bCs/>
          <w:szCs w:val="24"/>
        </w:rPr>
      </w:pPr>
      <w:r w:rsidRPr="003D54DD">
        <w:rPr>
          <w:rFonts w:cs="Arial"/>
          <w:bCs/>
          <w:szCs w:val="24"/>
        </w:rPr>
        <w:t xml:space="preserve">Cualquier avance en materia de Derechos Humanos e Inclusión Social en los países (sobretodo iberoamericanos), debe contemplar el desarrollo de la accesibilidad universal y la generación de ingresos para colectivos vulnerables (personas con discapacidad, minorías, afrodescendientes, indígenas, etc.). Por lo tanto, el modelo social de los Grupos Empresariales de la ONCE y su </w:t>
      </w:r>
      <w:r w:rsidRPr="003D54DD">
        <w:rPr>
          <w:rFonts w:cs="Arial"/>
          <w:bCs/>
          <w:szCs w:val="24"/>
        </w:rPr>
        <w:lastRenderedPageBreak/>
        <w:t>Fundación debe aportar soluciones globales y sociales a los países en donde se ha estimado acudir.</w:t>
      </w:r>
    </w:p>
    <w:p w:rsidR="00AD5023" w:rsidRPr="003D54DD" w:rsidRDefault="00AD5023" w:rsidP="00AD5023">
      <w:pPr>
        <w:pStyle w:val="Prrafodelista"/>
        <w:ind w:left="0"/>
        <w:jc w:val="both"/>
        <w:rPr>
          <w:rFonts w:cs="Arial"/>
          <w:bCs/>
          <w:szCs w:val="24"/>
        </w:rPr>
      </w:pPr>
    </w:p>
    <w:p w:rsidR="00AD5023" w:rsidRPr="003D54DD" w:rsidRDefault="00AD5023" w:rsidP="00AD5023">
      <w:pPr>
        <w:ind w:left="428"/>
        <w:jc w:val="both"/>
        <w:rPr>
          <w:rFonts w:cs="Arial"/>
          <w:bCs/>
          <w:szCs w:val="24"/>
        </w:rPr>
      </w:pPr>
      <w:r w:rsidRPr="003D54DD">
        <w:rPr>
          <w:rFonts w:cs="Arial"/>
          <w:bCs/>
          <w:szCs w:val="24"/>
        </w:rPr>
        <w:t xml:space="preserve">Se pondrán en marcha instrumentos societarios en cada país que permitan afrontar y dar respuesta a las oportunidades de negocio que se han detectado y que se encuentran actualmente en proceso de cierre. </w:t>
      </w:r>
    </w:p>
    <w:p w:rsidR="00AD5023" w:rsidRPr="003D54DD" w:rsidRDefault="00AD5023" w:rsidP="00AD5023">
      <w:pPr>
        <w:pStyle w:val="Prrafodelista"/>
        <w:ind w:left="428"/>
        <w:contextualSpacing/>
        <w:jc w:val="both"/>
        <w:rPr>
          <w:szCs w:val="24"/>
        </w:rPr>
      </w:pPr>
    </w:p>
    <w:p w:rsidR="00AD5023" w:rsidRPr="003D54DD" w:rsidRDefault="001862B3" w:rsidP="00865401">
      <w:pPr>
        <w:pStyle w:val="Prrafodelista"/>
        <w:numPr>
          <w:ilvl w:val="0"/>
          <w:numId w:val="17"/>
        </w:numPr>
        <w:contextualSpacing/>
        <w:jc w:val="both"/>
        <w:rPr>
          <w:szCs w:val="24"/>
        </w:rPr>
      </w:pPr>
      <w:r>
        <w:rPr>
          <w:szCs w:val="24"/>
          <w:u w:val="single"/>
        </w:rPr>
        <w:t>Consolidación</w:t>
      </w:r>
      <w:r w:rsidR="00AD5023" w:rsidRPr="003D54DD">
        <w:rPr>
          <w:szCs w:val="24"/>
          <w:u w:val="single"/>
        </w:rPr>
        <w:t xml:space="preserve"> de </w:t>
      </w:r>
      <w:r>
        <w:rPr>
          <w:szCs w:val="24"/>
          <w:u w:val="single"/>
        </w:rPr>
        <w:t xml:space="preserve">la </w:t>
      </w:r>
      <w:r w:rsidR="00AD5023" w:rsidRPr="003D54DD">
        <w:rPr>
          <w:szCs w:val="24"/>
          <w:u w:val="single"/>
        </w:rPr>
        <w:t>marca única</w:t>
      </w:r>
      <w:r w:rsidR="00AD5023" w:rsidRPr="003D54DD">
        <w:rPr>
          <w:szCs w:val="24"/>
        </w:rPr>
        <w:t>.</w:t>
      </w:r>
    </w:p>
    <w:p w:rsidR="00AD5023" w:rsidRPr="003D54DD" w:rsidRDefault="00AD5023" w:rsidP="00AD5023">
      <w:pPr>
        <w:shd w:val="clear" w:color="auto" w:fill="FFFFFF"/>
        <w:jc w:val="both"/>
        <w:rPr>
          <w:rFonts w:cs="Arial"/>
          <w:bCs/>
          <w:szCs w:val="24"/>
        </w:rPr>
      </w:pPr>
    </w:p>
    <w:p w:rsidR="00AD5023" w:rsidRPr="003D54DD" w:rsidRDefault="00AD5023" w:rsidP="00AD5023">
      <w:pPr>
        <w:shd w:val="clear" w:color="auto" w:fill="FFFFFF"/>
        <w:ind w:left="428"/>
        <w:jc w:val="both"/>
        <w:rPr>
          <w:rFonts w:cs="Arial"/>
          <w:bCs/>
          <w:szCs w:val="24"/>
        </w:rPr>
      </w:pPr>
      <w:r w:rsidRPr="003D54DD">
        <w:rPr>
          <w:rFonts w:cs="Arial"/>
          <w:bCs/>
          <w:szCs w:val="24"/>
        </w:rPr>
        <w:t xml:space="preserve">En 2014 se </w:t>
      </w:r>
      <w:r w:rsidR="000F0AFB" w:rsidRPr="003D54DD">
        <w:rPr>
          <w:rFonts w:cs="Arial"/>
          <w:bCs/>
          <w:szCs w:val="24"/>
        </w:rPr>
        <w:t>ha procedido a</w:t>
      </w:r>
      <w:r w:rsidRPr="003D54DD">
        <w:rPr>
          <w:rFonts w:cs="Arial"/>
          <w:bCs/>
          <w:szCs w:val="24"/>
        </w:rPr>
        <w:t xml:space="preserve"> la unificación de marca de los Grupos Empresariales</w:t>
      </w:r>
      <w:r w:rsidR="000F0AFB" w:rsidRPr="003D54DD">
        <w:rPr>
          <w:rFonts w:cs="Arial"/>
          <w:bCs/>
          <w:szCs w:val="24"/>
        </w:rPr>
        <w:t xml:space="preserve"> </w:t>
      </w:r>
      <w:r w:rsidRPr="003D54DD">
        <w:rPr>
          <w:rFonts w:cs="Arial"/>
          <w:bCs/>
          <w:szCs w:val="24"/>
        </w:rPr>
        <w:t>y ante los grupos de interés con los que se debe seguir trabajando</w:t>
      </w:r>
      <w:r w:rsidR="00F32195">
        <w:rPr>
          <w:rFonts w:cs="Arial"/>
          <w:bCs/>
          <w:szCs w:val="24"/>
        </w:rPr>
        <w:t>, ILUNION</w:t>
      </w:r>
      <w:r w:rsidRPr="003D54DD">
        <w:rPr>
          <w:rFonts w:cs="Arial"/>
          <w:bCs/>
          <w:szCs w:val="24"/>
        </w:rPr>
        <w:t>.</w:t>
      </w:r>
    </w:p>
    <w:p w:rsidR="00AD5023" w:rsidRPr="003D54DD" w:rsidRDefault="00AD5023" w:rsidP="00AD5023">
      <w:pPr>
        <w:shd w:val="clear" w:color="auto" w:fill="FFFFFF"/>
        <w:ind w:left="428"/>
        <w:jc w:val="both"/>
        <w:rPr>
          <w:rFonts w:cs="Arial"/>
          <w:bCs/>
          <w:szCs w:val="24"/>
        </w:rPr>
      </w:pPr>
    </w:p>
    <w:p w:rsidR="00AD5023" w:rsidRPr="003D54DD" w:rsidRDefault="00AD5023" w:rsidP="00AD5023">
      <w:pPr>
        <w:shd w:val="clear" w:color="auto" w:fill="FFFFFF"/>
        <w:ind w:left="428"/>
        <w:jc w:val="both"/>
        <w:rPr>
          <w:rFonts w:cs="Arial"/>
          <w:bCs/>
          <w:szCs w:val="24"/>
        </w:rPr>
      </w:pPr>
      <w:r w:rsidRPr="003D54DD">
        <w:rPr>
          <w:rFonts w:cs="Arial"/>
          <w:bCs/>
          <w:szCs w:val="24"/>
        </w:rPr>
        <w:t>La estrategia de comunicación del Grupo de Empresas, tanto interna como externa, y su puesta en marcha se está realizando en colaboración con Servimedia, desarrollándose siguiendo un planteamiento global y único para todas las compañías y poniendo los cimientos para una comunicación unificada bajo el paraguas de la nueva marca.</w:t>
      </w:r>
    </w:p>
    <w:p w:rsidR="00DB2344" w:rsidRPr="003D54DD" w:rsidRDefault="00DB2344" w:rsidP="00221C41">
      <w:pPr>
        <w:pStyle w:val="Prrafodelista"/>
        <w:jc w:val="both"/>
        <w:rPr>
          <w:rFonts w:cs="Arial"/>
          <w:szCs w:val="24"/>
          <w:lang w:val="es-ES_tradnl"/>
        </w:rPr>
      </w:pPr>
    </w:p>
    <w:p w:rsidR="00784AB2" w:rsidRPr="003D54DD" w:rsidRDefault="00784AB2" w:rsidP="00221C41">
      <w:pPr>
        <w:pStyle w:val="Prrafodelista"/>
        <w:jc w:val="both"/>
        <w:rPr>
          <w:rFonts w:cs="Arial"/>
          <w:szCs w:val="24"/>
          <w:lang w:val="es-ES_tradnl"/>
        </w:rPr>
      </w:pPr>
    </w:p>
    <w:p w:rsidR="001B30E2" w:rsidRDefault="00286810" w:rsidP="00865401">
      <w:pPr>
        <w:pStyle w:val="Ttulo2"/>
        <w:numPr>
          <w:ilvl w:val="1"/>
          <w:numId w:val="3"/>
        </w:numPr>
        <w:tabs>
          <w:tab w:val="clear" w:pos="1080"/>
          <w:tab w:val="num" w:pos="360"/>
        </w:tabs>
        <w:spacing w:before="0" w:after="0"/>
        <w:ind w:left="360"/>
        <w:jc w:val="both"/>
        <w:rPr>
          <w:i w:val="0"/>
          <w:color w:val="016FB8"/>
          <w:sz w:val="24"/>
          <w:szCs w:val="24"/>
          <w:u w:val="single"/>
        </w:rPr>
      </w:pPr>
      <w:bookmarkStart w:id="16" w:name="_Toc403984303"/>
      <w:r>
        <w:rPr>
          <w:i w:val="0"/>
          <w:color w:val="016FB8"/>
          <w:sz w:val="24"/>
          <w:szCs w:val="24"/>
          <w:u w:val="single"/>
        </w:rPr>
        <w:t xml:space="preserve">Profesionalización y optimización </w:t>
      </w:r>
      <w:r w:rsidR="001B30E2">
        <w:rPr>
          <w:i w:val="0"/>
          <w:color w:val="016FB8"/>
          <w:sz w:val="24"/>
          <w:szCs w:val="24"/>
          <w:u w:val="single"/>
        </w:rPr>
        <w:t>de la estructura</w:t>
      </w:r>
      <w:bookmarkEnd w:id="16"/>
    </w:p>
    <w:p w:rsidR="001B30E2" w:rsidRDefault="001B30E2" w:rsidP="001B30E2"/>
    <w:p w:rsidR="0032770D" w:rsidRPr="0032770D" w:rsidRDefault="00286810" w:rsidP="0032770D">
      <w:pPr>
        <w:tabs>
          <w:tab w:val="left" w:pos="1470"/>
        </w:tabs>
        <w:jc w:val="both"/>
        <w:rPr>
          <w:szCs w:val="24"/>
        </w:rPr>
      </w:pPr>
      <w:r>
        <w:t xml:space="preserve">La profesionalización del Grupo ha sido una constante en estos últimos años. No obstante, este objetivo debe ser permanente. </w:t>
      </w:r>
      <w:r w:rsidRPr="00DD679A">
        <w:t xml:space="preserve">La </w:t>
      </w:r>
      <w:r>
        <w:t>situación</w:t>
      </w:r>
      <w:r w:rsidRPr="00DD679A">
        <w:t xml:space="preserve"> económica actual hace todavía más necesario seguir avanzando en la profesionalización de los equipos de gestión del Grupo, así como en el adecuado dimensionamiento de las estructuras existentes</w:t>
      </w:r>
      <w:r w:rsidRPr="0032770D">
        <w:t xml:space="preserve">. </w:t>
      </w:r>
      <w:r w:rsidR="0032770D" w:rsidRPr="0032770D">
        <w:rPr>
          <w:szCs w:val="24"/>
        </w:rPr>
        <w:t xml:space="preserve">Además de apostar por un crecimiento de la actividad, en el ejercicio 2015 se continuará con la adecuación permanente de las estructuras para la consecución de la máxima eficiencia, adaptándose continuamente a los cambios sociales, tecnológicos y económicos y de acuerdo a los criterios de racionalidad, eficiencia, rigor y austeridad máximos. Ello permitirá liberar recursos y destinarlos a los fines sociales. </w:t>
      </w:r>
    </w:p>
    <w:p w:rsidR="00286810" w:rsidRDefault="00A20E72" w:rsidP="00286810">
      <w:pPr>
        <w:jc w:val="both"/>
      </w:pPr>
      <w:r>
        <w:t xml:space="preserve"> </w:t>
      </w:r>
    </w:p>
    <w:p w:rsidR="00A20E72" w:rsidRPr="00662E80" w:rsidRDefault="00A20E72" w:rsidP="00286810">
      <w:pPr>
        <w:jc w:val="both"/>
      </w:pPr>
      <w:r>
        <w:t xml:space="preserve">Para ello, </w:t>
      </w:r>
      <w:r w:rsidRPr="00662E80">
        <w:t>se plantean los siguientes objetivos:</w:t>
      </w:r>
    </w:p>
    <w:p w:rsidR="00A20E72" w:rsidRPr="00662E80" w:rsidRDefault="00A20E72" w:rsidP="00286810">
      <w:pPr>
        <w:jc w:val="both"/>
      </w:pPr>
    </w:p>
    <w:p w:rsidR="00A20E72" w:rsidRPr="00662E80" w:rsidRDefault="00662E80" w:rsidP="00286810">
      <w:pPr>
        <w:numPr>
          <w:ilvl w:val="0"/>
          <w:numId w:val="16"/>
        </w:numPr>
        <w:jc w:val="both"/>
        <w:rPr>
          <w:szCs w:val="24"/>
        </w:rPr>
      </w:pPr>
      <w:r w:rsidRPr="00662E80">
        <w:rPr>
          <w:szCs w:val="24"/>
        </w:rPr>
        <w:t>Consolidación</w:t>
      </w:r>
      <w:r w:rsidR="00A20E72" w:rsidRPr="00662E80">
        <w:rPr>
          <w:szCs w:val="24"/>
        </w:rPr>
        <w:t xml:space="preserve"> del nuevo centro corporativo unificado para todas las sociedades.</w:t>
      </w:r>
    </w:p>
    <w:p w:rsidR="00A20E72" w:rsidRPr="00662E80" w:rsidRDefault="00A20E72" w:rsidP="00A20E72">
      <w:pPr>
        <w:ind w:left="720"/>
        <w:jc w:val="both"/>
        <w:rPr>
          <w:szCs w:val="24"/>
        </w:rPr>
      </w:pPr>
    </w:p>
    <w:p w:rsidR="00A20E72" w:rsidRDefault="00A20E72" w:rsidP="00286810">
      <w:pPr>
        <w:numPr>
          <w:ilvl w:val="0"/>
          <w:numId w:val="16"/>
        </w:numPr>
        <w:jc w:val="both"/>
        <w:rPr>
          <w:szCs w:val="24"/>
        </w:rPr>
      </w:pPr>
      <w:r>
        <w:rPr>
          <w:szCs w:val="24"/>
        </w:rPr>
        <w:t xml:space="preserve">Minoración de los gastos de estructura básica, en particular </w:t>
      </w:r>
      <w:r w:rsidR="002976D6">
        <w:rPr>
          <w:szCs w:val="24"/>
        </w:rPr>
        <w:t>trabajando</w:t>
      </w:r>
      <w:r>
        <w:rPr>
          <w:szCs w:val="24"/>
        </w:rPr>
        <w:t xml:space="preserve"> en la integración de las cabeceras y en la reducción de los puestos directivos.</w:t>
      </w:r>
    </w:p>
    <w:p w:rsidR="00A20E72" w:rsidRDefault="00A20E72" w:rsidP="00A20E72">
      <w:pPr>
        <w:ind w:left="720"/>
        <w:jc w:val="both"/>
        <w:rPr>
          <w:szCs w:val="24"/>
        </w:rPr>
      </w:pPr>
    </w:p>
    <w:p w:rsidR="00286810" w:rsidRPr="00286810" w:rsidRDefault="00286810" w:rsidP="00286810">
      <w:pPr>
        <w:numPr>
          <w:ilvl w:val="0"/>
          <w:numId w:val="16"/>
        </w:numPr>
        <w:jc w:val="both"/>
        <w:rPr>
          <w:szCs w:val="24"/>
        </w:rPr>
      </w:pPr>
      <w:r w:rsidRPr="00286810">
        <w:rPr>
          <w:szCs w:val="24"/>
        </w:rPr>
        <w:t xml:space="preserve">Revisión y ajuste permanente de los gastos de estructura básica. Se pretende reducir en 2015 un mínimo del 3% los gastos de estructura básica. </w:t>
      </w:r>
    </w:p>
    <w:p w:rsidR="00286810" w:rsidRPr="00286810" w:rsidRDefault="00286810" w:rsidP="00286810">
      <w:pPr>
        <w:pStyle w:val="Prrafodelista"/>
        <w:ind w:left="360"/>
        <w:contextualSpacing/>
        <w:jc w:val="both"/>
        <w:rPr>
          <w:szCs w:val="24"/>
        </w:rPr>
      </w:pPr>
    </w:p>
    <w:p w:rsidR="001B30E2" w:rsidRPr="001B30E2" w:rsidRDefault="001B30E2" w:rsidP="001B30E2"/>
    <w:p w:rsidR="00662E80" w:rsidRDefault="00B20AC0" w:rsidP="00662E80">
      <w:pPr>
        <w:pStyle w:val="Ttulo2"/>
        <w:numPr>
          <w:ilvl w:val="1"/>
          <w:numId w:val="3"/>
        </w:numPr>
        <w:tabs>
          <w:tab w:val="clear" w:pos="1080"/>
          <w:tab w:val="num" w:pos="360"/>
        </w:tabs>
        <w:spacing w:before="0" w:after="0"/>
        <w:ind w:left="360"/>
        <w:jc w:val="both"/>
        <w:rPr>
          <w:i w:val="0"/>
          <w:color w:val="016FB8"/>
          <w:sz w:val="24"/>
          <w:szCs w:val="24"/>
          <w:u w:val="single"/>
        </w:rPr>
      </w:pPr>
      <w:bookmarkStart w:id="17" w:name="_Toc403984304"/>
      <w:r>
        <w:rPr>
          <w:i w:val="0"/>
          <w:color w:val="016FB8"/>
          <w:sz w:val="24"/>
          <w:szCs w:val="24"/>
          <w:u w:val="single"/>
        </w:rPr>
        <w:br w:type="page"/>
      </w:r>
      <w:r w:rsidR="00662E80">
        <w:rPr>
          <w:i w:val="0"/>
          <w:color w:val="016FB8"/>
          <w:sz w:val="24"/>
          <w:szCs w:val="24"/>
          <w:u w:val="single"/>
        </w:rPr>
        <w:lastRenderedPageBreak/>
        <w:t>Culminación del proceso de convergencia</w:t>
      </w:r>
      <w:r w:rsidR="00AC4A0C">
        <w:rPr>
          <w:i w:val="0"/>
          <w:color w:val="016FB8"/>
          <w:sz w:val="24"/>
          <w:szCs w:val="24"/>
          <w:u w:val="single"/>
        </w:rPr>
        <w:t xml:space="preserve"> de los Grupos Empresariales</w:t>
      </w:r>
      <w:bookmarkEnd w:id="17"/>
    </w:p>
    <w:p w:rsidR="00662E80" w:rsidRDefault="00662E80" w:rsidP="00662E80"/>
    <w:p w:rsidR="00662E80" w:rsidRDefault="0032770D" w:rsidP="00662E80">
      <w:pPr>
        <w:tabs>
          <w:tab w:val="left" w:pos="1470"/>
        </w:tabs>
        <w:jc w:val="both"/>
        <w:rPr>
          <w:color w:val="C0504D"/>
          <w:szCs w:val="24"/>
        </w:rPr>
      </w:pPr>
      <w:r>
        <w:rPr>
          <w:rFonts w:cs="Tahoma"/>
          <w:szCs w:val="24"/>
        </w:rPr>
        <w:t xml:space="preserve">Durante el ejercicio 2015 se culminará el proceso </w:t>
      </w:r>
      <w:r w:rsidRPr="001134C4">
        <w:rPr>
          <w:rFonts w:cs="Tahoma"/>
          <w:szCs w:val="24"/>
        </w:rPr>
        <w:t>de convergencia</w:t>
      </w:r>
      <w:r>
        <w:rPr>
          <w:rFonts w:cs="Tahoma"/>
          <w:szCs w:val="24"/>
        </w:rPr>
        <w:t xml:space="preserve"> y gestión única y coordinada de los dos Grupos Empresariales de la ONCE y su Fundación.</w:t>
      </w:r>
    </w:p>
    <w:p w:rsidR="0032770D" w:rsidRDefault="0032770D" w:rsidP="00662E80">
      <w:pPr>
        <w:tabs>
          <w:tab w:val="left" w:pos="1470"/>
        </w:tabs>
        <w:jc w:val="both"/>
        <w:rPr>
          <w:szCs w:val="24"/>
        </w:rPr>
      </w:pPr>
    </w:p>
    <w:p w:rsidR="00662E80" w:rsidRPr="0032770D" w:rsidRDefault="00662E80" w:rsidP="00662E80">
      <w:pPr>
        <w:tabs>
          <w:tab w:val="left" w:pos="1470"/>
        </w:tabs>
        <w:jc w:val="both"/>
        <w:rPr>
          <w:szCs w:val="24"/>
        </w:rPr>
      </w:pPr>
      <w:r w:rsidRPr="0032770D">
        <w:rPr>
          <w:szCs w:val="24"/>
        </w:rPr>
        <w:t>Los objetivos planteados se detallan a continuación:</w:t>
      </w:r>
    </w:p>
    <w:p w:rsidR="00662E80" w:rsidRPr="0032770D" w:rsidRDefault="00662E80" w:rsidP="00662E80">
      <w:pPr>
        <w:pStyle w:val="Prrafodelista"/>
        <w:tabs>
          <w:tab w:val="left" w:pos="426"/>
        </w:tabs>
        <w:ind w:left="428"/>
        <w:contextualSpacing/>
        <w:jc w:val="both"/>
        <w:rPr>
          <w:szCs w:val="24"/>
        </w:rPr>
      </w:pPr>
    </w:p>
    <w:p w:rsidR="0032770D" w:rsidRPr="0032770D" w:rsidRDefault="0032770D" w:rsidP="0032770D">
      <w:pPr>
        <w:numPr>
          <w:ilvl w:val="0"/>
          <w:numId w:val="17"/>
        </w:numPr>
        <w:jc w:val="both"/>
        <w:rPr>
          <w:szCs w:val="24"/>
        </w:rPr>
      </w:pPr>
      <w:r w:rsidRPr="0032770D">
        <w:rPr>
          <w:szCs w:val="24"/>
        </w:rPr>
        <w:t>Consolidación y unificación de los Centros de Servicios Compartidos. Una vez operativos los Centros de Servicios Compartidos de Ceosa (financiero, compras y recursos humanos) y Grupo Fundosa (financiero y compras), se marca como objetivo la ampliación del Grupo Fundosa al área de recursos humanos, y la unificación en un único Centro de Servicios Compartidos que gestione todas las empresas de los dos Grupos Empresariales, que será Centro Especial de Empleo.</w:t>
      </w:r>
    </w:p>
    <w:p w:rsidR="0032770D" w:rsidRPr="0032770D" w:rsidRDefault="0032770D" w:rsidP="0032770D">
      <w:pPr>
        <w:pStyle w:val="Prrafodelista"/>
        <w:ind w:left="360"/>
        <w:contextualSpacing/>
        <w:jc w:val="both"/>
        <w:rPr>
          <w:szCs w:val="24"/>
        </w:rPr>
      </w:pPr>
    </w:p>
    <w:p w:rsidR="0032770D" w:rsidRPr="0032770D" w:rsidRDefault="0032770D" w:rsidP="00662E80">
      <w:pPr>
        <w:pStyle w:val="Prrafodelista"/>
        <w:numPr>
          <w:ilvl w:val="0"/>
          <w:numId w:val="17"/>
        </w:numPr>
        <w:contextualSpacing/>
        <w:jc w:val="both"/>
        <w:rPr>
          <w:szCs w:val="24"/>
        </w:rPr>
      </w:pPr>
      <w:r w:rsidRPr="0032770D">
        <w:rPr>
          <w:rFonts w:cs="Arial"/>
          <w:szCs w:val="24"/>
        </w:rPr>
        <w:t>Puesta en marcha del Plan de Convergencia en Recursos Humanos para todas las sociedades</w:t>
      </w:r>
      <w:r w:rsidR="00AC4A0C">
        <w:rPr>
          <w:rFonts w:cs="Arial"/>
          <w:szCs w:val="24"/>
        </w:rPr>
        <w:t>,</w:t>
      </w:r>
      <w:r w:rsidRPr="0032770D">
        <w:rPr>
          <w:rFonts w:cs="Arial"/>
          <w:szCs w:val="24"/>
        </w:rPr>
        <w:t xml:space="preserve"> con la unificación de políticas, procesos y procedimientos.</w:t>
      </w:r>
    </w:p>
    <w:p w:rsidR="0032770D" w:rsidRPr="0032770D" w:rsidRDefault="0032770D" w:rsidP="0032770D">
      <w:pPr>
        <w:pStyle w:val="Prrafodelista"/>
        <w:rPr>
          <w:szCs w:val="24"/>
        </w:rPr>
      </w:pPr>
    </w:p>
    <w:p w:rsidR="0032770D" w:rsidRPr="0032770D" w:rsidRDefault="0032770D" w:rsidP="00662E80">
      <w:pPr>
        <w:pStyle w:val="Prrafodelista"/>
        <w:numPr>
          <w:ilvl w:val="0"/>
          <w:numId w:val="17"/>
        </w:numPr>
        <w:contextualSpacing/>
        <w:jc w:val="both"/>
        <w:rPr>
          <w:szCs w:val="24"/>
        </w:rPr>
      </w:pPr>
      <w:r w:rsidRPr="0032770D">
        <w:rPr>
          <w:szCs w:val="24"/>
        </w:rPr>
        <w:t>Desarrollo de una cultura compartida con objetivos comunes y potenciación de la cultura institucional.</w:t>
      </w:r>
    </w:p>
    <w:p w:rsidR="0032770D" w:rsidRPr="0032770D" w:rsidRDefault="0032770D" w:rsidP="0032770D">
      <w:pPr>
        <w:pStyle w:val="Prrafodelista"/>
        <w:rPr>
          <w:szCs w:val="24"/>
        </w:rPr>
      </w:pPr>
    </w:p>
    <w:p w:rsidR="0032770D" w:rsidRPr="0032770D" w:rsidRDefault="0032770D" w:rsidP="00662E80">
      <w:pPr>
        <w:pStyle w:val="Prrafodelista"/>
        <w:numPr>
          <w:ilvl w:val="0"/>
          <w:numId w:val="17"/>
        </w:numPr>
        <w:contextualSpacing/>
        <w:jc w:val="both"/>
        <w:rPr>
          <w:szCs w:val="24"/>
        </w:rPr>
      </w:pPr>
      <w:r w:rsidRPr="0032770D">
        <w:rPr>
          <w:szCs w:val="24"/>
        </w:rPr>
        <w:t>Unificación de las políticas y criterios en las áreas financiera, RRHH y jurídica.</w:t>
      </w:r>
    </w:p>
    <w:p w:rsidR="0032770D" w:rsidRPr="0032770D" w:rsidRDefault="0032770D" w:rsidP="0032770D">
      <w:pPr>
        <w:pStyle w:val="Prrafodelista"/>
        <w:rPr>
          <w:szCs w:val="24"/>
        </w:rPr>
      </w:pPr>
    </w:p>
    <w:p w:rsidR="0032770D" w:rsidRPr="00AC4A0C" w:rsidRDefault="0032770D" w:rsidP="00AC4A0C">
      <w:pPr>
        <w:pStyle w:val="Prrafodelista"/>
        <w:numPr>
          <w:ilvl w:val="0"/>
          <w:numId w:val="17"/>
        </w:numPr>
        <w:contextualSpacing/>
        <w:jc w:val="both"/>
        <w:rPr>
          <w:rFonts w:cs="Arial"/>
          <w:szCs w:val="24"/>
        </w:rPr>
      </w:pPr>
      <w:r w:rsidRPr="0032770D">
        <w:rPr>
          <w:szCs w:val="24"/>
        </w:rPr>
        <w:t xml:space="preserve">Desarrollo </w:t>
      </w:r>
      <w:r w:rsidRPr="00AC4A0C">
        <w:rPr>
          <w:rFonts w:cs="Arial"/>
          <w:szCs w:val="24"/>
        </w:rPr>
        <w:t>del proyecto de centralización de las compras.</w:t>
      </w:r>
    </w:p>
    <w:p w:rsidR="00AC4A0C" w:rsidRPr="00AC4A0C" w:rsidRDefault="00AC4A0C" w:rsidP="00AC4A0C">
      <w:pPr>
        <w:pStyle w:val="Prrafodelista"/>
        <w:jc w:val="both"/>
        <w:rPr>
          <w:rFonts w:cs="Arial"/>
          <w:szCs w:val="24"/>
        </w:rPr>
      </w:pPr>
    </w:p>
    <w:p w:rsidR="00AC4A0C" w:rsidRPr="00AC4A0C" w:rsidRDefault="00AC4A0C" w:rsidP="00AC4A0C">
      <w:pPr>
        <w:pStyle w:val="Prrafodelista"/>
        <w:numPr>
          <w:ilvl w:val="0"/>
          <w:numId w:val="17"/>
        </w:numPr>
        <w:contextualSpacing/>
        <w:jc w:val="both"/>
        <w:rPr>
          <w:rFonts w:cs="Arial"/>
          <w:bCs/>
          <w:szCs w:val="24"/>
        </w:rPr>
      </w:pPr>
      <w:r w:rsidRPr="00AC4A0C">
        <w:rPr>
          <w:rFonts w:cs="Arial"/>
          <w:bCs/>
          <w:szCs w:val="24"/>
        </w:rPr>
        <w:t xml:space="preserve">En el ejercicio 2015 se va a realizar un proyecto de simplificación societaria </w:t>
      </w:r>
      <w:r w:rsidRPr="00AC4A0C">
        <w:rPr>
          <w:szCs w:val="24"/>
        </w:rPr>
        <w:t>con</w:t>
      </w:r>
      <w:r w:rsidRPr="00AC4A0C">
        <w:rPr>
          <w:rFonts w:cs="Arial"/>
          <w:bCs/>
          <w:szCs w:val="24"/>
        </w:rPr>
        <w:t xml:space="preserve"> el objetivo de reducir al máximo el número de sociedades que conforman nuestro Grupo, pero protegiendo sus particularidades (Centros Especiales de Empleo y sostenibilidad).</w:t>
      </w:r>
      <w:r>
        <w:rPr>
          <w:rFonts w:cs="Arial"/>
          <w:bCs/>
          <w:szCs w:val="24"/>
        </w:rPr>
        <w:t xml:space="preserve"> </w:t>
      </w:r>
      <w:r w:rsidRPr="00AC4A0C">
        <w:rPr>
          <w:rFonts w:cs="Arial"/>
          <w:bCs/>
          <w:szCs w:val="24"/>
        </w:rPr>
        <w:t>Esta nueva estructura societaria permitir</w:t>
      </w:r>
      <w:r>
        <w:rPr>
          <w:rFonts w:cs="Arial"/>
          <w:bCs/>
          <w:szCs w:val="24"/>
        </w:rPr>
        <w:t>á</w:t>
      </w:r>
      <w:r w:rsidRPr="00AC4A0C">
        <w:rPr>
          <w:rFonts w:cs="Arial"/>
          <w:bCs/>
          <w:szCs w:val="24"/>
        </w:rPr>
        <w:t xml:space="preserve"> evitar ineficiencias de diversa índole en el ámbito de la administración, control, gestión, tesorería, auditoría</w:t>
      </w:r>
      <w:r>
        <w:rPr>
          <w:rFonts w:cs="Arial"/>
          <w:bCs/>
          <w:szCs w:val="24"/>
        </w:rPr>
        <w:t>, etc.</w:t>
      </w:r>
      <w:r w:rsidRPr="00AC4A0C">
        <w:rPr>
          <w:rFonts w:cs="Arial"/>
          <w:bCs/>
          <w:szCs w:val="24"/>
        </w:rPr>
        <w:t>, con la consecuente reducción de gastos de estructura.</w:t>
      </w:r>
    </w:p>
    <w:p w:rsidR="00662E80" w:rsidRPr="00AC4A0C" w:rsidRDefault="00662E80" w:rsidP="00AC4A0C">
      <w:pPr>
        <w:pStyle w:val="Prrafodelista"/>
        <w:tabs>
          <w:tab w:val="left" w:pos="426"/>
        </w:tabs>
        <w:ind w:left="428"/>
        <w:jc w:val="both"/>
        <w:rPr>
          <w:rFonts w:cs="Arial"/>
          <w:szCs w:val="24"/>
        </w:rPr>
      </w:pPr>
    </w:p>
    <w:p w:rsidR="00662E80" w:rsidRPr="00662E80" w:rsidRDefault="00662E80" w:rsidP="00662E80"/>
    <w:p w:rsidR="00221C41" w:rsidRPr="00BF7448" w:rsidRDefault="000F0AFB" w:rsidP="00865401">
      <w:pPr>
        <w:pStyle w:val="Ttulo2"/>
        <w:numPr>
          <w:ilvl w:val="1"/>
          <w:numId w:val="3"/>
        </w:numPr>
        <w:tabs>
          <w:tab w:val="clear" w:pos="1080"/>
          <w:tab w:val="num" w:pos="360"/>
        </w:tabs>
        <w:spacing w:before="0" w:after="0"/>
        <w:ind w:left="360"/>
        <w:jc w:val="both"/>
        <w:rPr>
          <w:i w:val="0"/>
          <w:color w:val="016FB8"/>
          <w:sz w:val="24"/>
          <w:szCs w:val="24"/>
          <w:u w:val="single"/>
        </w:rPr>
      </w:pPr>
      <w:bookmarkStart w:id="18" w:name="_Toc403984305"/>
      <w:r w:rsidRPr="00BF7448">
        <w:rPr>
          <w:i w:val="0"/>
          <w:color w:val="016FB8"/>
          <w:sz w:val="24"/>
          <w:szCs w:val="24"/>
          <w:u w:val="single"/>
        </w:rPr>
        <w:t>Herramientas de gestión y sistemas de información</w:t>
      </w:r>
      <w:bookmarkEnd w:id="18"/>
    </w:p>
    <w:p w:rsidR="00221C41" w:rsidRPr="003D54DD" w:rsidRDefault="00221C41" w:rsidP="00C163E1">
      <w:pPr>
        <w:pStyle w:val="Body1"/>
        <w:spacing w:after="0" w:line="240" w:lineRule="auto"/>
        <w:ind w:left="284"/>
        <w:jc w:val="both"/>
        <w:rPr>
          <w:rFonts w:ascii="Arial" w:hAnsi="Arial" w:cs="Arial"/>
          <w:color w:val="auto"/>
          <w:sz w:val="24"/>
          <w:szCs w:val="24"/>
        </w:rPr>
      </w:pPr>
    </w:p>
    <w:p w:rsidR="000F0AFB" w:rsidRPr="003D54DD" w:rsidRDefault="000F0AFB" w:rsidP="000F0AFB">
      <w:pPr>
        <w:jc w:val="both"/>
        <w:rPr>
          <w:rFonts w:cs="Arial"/>
          <w:szCs w:val="24"/>
        </w:rPr>
      </w:pPr>
      <w:r w:rsidRPr="003D54DD">
        <w:rPr>
          <w:rFonts w:cs="Arial"/>
          <w:szCs w:val="24"/>
        </w:rPr>
        <w:t xml:space="preserve">Se plantea para el </w:t>
      </w:r>
      <w:r w:rsidR="009D0820" w:rsidRPr="003D54DD">
        <w:rPr>
          <w:rFonts w:cs="Arial"/>
          <w:szCs w:val="24"/>
        </w:rPr>
        <w:t>ejercicio 2015</w:t>
      </w:r>
      <w:r w:rsidRPr="003D54DD">
        <w:rPr>
          <w:rFonts w:cs="Arial"/>
          <w:szCs w:val="24"/>
        </w:rPr>
        <w:t xml:space="preserve"> continuar implantando y optimizando herramientas </w:t>
      </w:r>
      <w:r w:rsidR="00986A20">
        <w:rPr>
          <w:rFonts w:cs="Arial"/>
          <w:szCs w:val="24"/>
        </w:rPr>
        <w:t xml:space="preserve">que posibiliten una mejor gestión de la información y toma de decisiones, </w:t>
      </w:r>
      <w:r w:rsidRPr="003D54DD">
        <w:rPr>
          <w:rFonts w:cs="Arial"/>
          <w:szCs w:val="24"/>
        </w:rPr>
        <w:t>estableciéndose las siguientes líneas de actuación:</w:t>
      </w:r>
    </w:p>
    <w:p w:rsidR="000F0AFB" w:rsidRPr="003D54DD" w:rsidRDefault="000F0AFB" w:rsidP="000F0AFB">
      <w:pPr>
        <w:jc w:val="both"/>
        <w:rPr>
          <w:rFonts w:cs="Arial"/>
          <w:szCs w:val="24"/>
        </w:rPr>
      </w:pPr>
    </w:p>
    <w:p w:rsidR="00ED2A0D" w:rsidRPr="003D54DD" w:rsidRDefault="00ED2A0D" w:rsidP="00ED2A0D">
      <w:pPr>
        <w:pStyle w:val="Prrafodelista"/>
        <w:numPr>
          <w:ilvl w:val="0"/>
          <w:numId w:val="17"/>
        </w:numPr>
        <w:contextualSpacing/>
        <w:jc w:val="both"/>
        <w:rPr>
          <w:szCs w:val="24"/>
        </w:rPr>
      </w:pPr>
      <w:r w:rsidRPr="003D54DD">
        <w:rPr>
          <w:szCs w:val="24"/>
        </w:rPr>
        <w:t xml:space="preserve">Se </w:t>
      </w:r>
      <w:r>
        <w:rPr>
          <w:szCs w:val="24"/>
        </w:rPr>
        <w:t>apostará por la modernización tecnológica en el entorno de SAP</w:t>
      </w:r>
      <w:r w:rsidRPr="003D54DD">
        <w:rPr>
          <w:szCs w:val="24"/>
        </w:rPr>
        <w:t xml:space="preserve"> </w:t>
      </w:r>
      <w:r>
        <w:rPr>
          <w:szCs w:val="24"/>
        </w:rPr>
        <w:t>que permita homogenizar procesos, mejorar procedimientos y permitir un mejor acceso a la información</w:t>
      </w:r>
      <w:r w:rsidRPr="003D54DD">
        <w:rPr>
          <w:szCs w:val="24"/>
        </w:rPr>
        <w:t>.</w:t>
      </w:r>
    </w:p>
    <w:p w:rsidR="00ED2A0D" w:rsidRDefault="00ED2A0D" w:rsidP="00ED2A0D">
      <w:pPr>
        <w:pStyle w:val="Prrafodelista"/>
        <w:ind w:left="360"/>
        <w:contextualSpacing/>
        <w:jc w:val="both"/>
        <w:rPr>
          <w:szCs w:val="24"/>
        </w:rPr>
      </w:pPr>
    </w:p>
    <w:p w:rsidR="000F0AFB" w:rsidRDefault="000F0AFB" w:rsidP="00865401">
      <w:pPr>
        <w:pStyle w:val="Prrafodelista"/>
        <w:numPr>
          <w:ilvl w:val="0"/>
          <w:numId w:val="17"/>
        </w:numPr>
        <w:contextualSpacing/>
        <w:jc w:val="both"/>
        <w:rPr>
          <w:szCs w:val="24"/>
        </w:rPr>
      </w:pPr>
      <w:r w:rsidRPr="003D54DD">
        <w:rPr>
          <w:szCs w:val="24"/>
        </w:rPr>
        <w:t>Se llevarán a cabo programas específicos de formación en SAP para reducir la dependencia de empresas externas y favorecer nichos de empleabilidad.</w:t>
      </w:r>
    </w:p>
    <w:p w:rsidR="00ED2A0D" w:rsidRDefault="00ED2A0D" w:rsidP="00ED2A0D">
      <w:pPr>
        <w:pStyle w:val="Prrafodelista"/>
        <w:rPr>
          <w:szCs w:val="24"/>
        </w:rPr>
      </w:pPr>
    </w:p>
    <w:p w:rsidR="000F0AFB" w:rsidRPr="00ED2A0D" w:rsidRDefault="00ED2A0D" w:rsidP="00ED2A0D">
      <w:pPr>
        <w:pStyle w:val="Prrafodelista"/>
        <w:numPr>
          <w:ilvl w:val="0"/>
          <w:numId w:val="17"/>
        </w:numPr>
        <w:contextualSpacing/>
        <w:jc w:val="both"/>
        <w:rPr>
          <w:szCs w:val="24"/>
        </w:rPr>
      </w:pPr>
      <w:r w:rsidRPr="00ED2A0D">
        <w:rPr>
          <w:szCs w:val="24"/>
        </w:rPr>
        <w:lastRenderedPageBreak/>
        <w:t>Se implantarán mejoras de las funcionalidades de SAP tanto para el área financiera como de recursos humanos.</w:t>
      </w:r>
    </w:p>
    <w:p w:rsidR="000F0AFB" w:rsidRPr="003D54DD" w:rsidRDefault="000F0AFB" w:rsidP="000F0AFB">
      <w:pPr>
        <w:pStyle w:val="Prrafodelista"/>
        <w:ind w:left="360"/>
        <w:jc w:val="both"/>
        <w:rPr>
          <w:szCs w:val="24"/>
        </w:rPr>
      </w:pPr>
    </w:p>
    <w:p w:rsidR="000F0AFB" w:rsidRPr="003D54DD" w:rsidRDefault="000F0AFB" w:rsidP="00865401">
      <w:pPr>
        <w:pStyle w:val="Prrafodelista"/>
        <w:numPr>
          <w:ilvl w:val="0"/>
          <w:numId w:val="17"/>
        </w:numPr>
        <w:contextualSpacing/>
        <w:jc w:val="both"/>
        <w:rPr>
          <w:szCs w:val="24"/>
        </w:rPr>
      </w:pPr>
      <w:r w:rsidRPr="003D54DD">
        <w:rPr>
          <w:szCs w:val="24"/>
        </w:rPr>
        <w:t xml:space="preserve">Unificación de </w:t>
      </w:r>
      <w:r w:rsidR="00B01580">
        <w:rPr>
          <w:szCs w:val="24"/>
        </w:rPr>
        <w:t xml:space="preserve">las políticas financieras y </w:t>
      </w:r>
      <w:r w:rsidRPr="003D54DD">
        <w:rPr>
          <w:szCs w:val="24"/>
        </w:rPr>
        <w:t xml:space="preserve">los procesos de tesorería: </w:t>
      </w:r>
    </w:p>
    <w:p w:rsidR="000F0AFB" w:rsidRPr="003D54DD" w:rsidRDefault="000F0AFB" w:rsidP="000F0AFB">
      <w:pPr>
        <w:pStyle w:val="Prrafodelista"/>
        <w:rPr>
          <w:szCs w:val="24"/>
        </w:rPr>
      </w:pPr>
    </w:p>
    <w:p w:rsidR="000F0AFB" w:rsidRPr="003D54DD" w:rsidRDefault="000F0AFB" w:rsidP="00865401">
      <w:pPr>
        <w:numPr>
          <w:ilvl w:val="0"/>
          <w:numId w:val="16"/>
        </w:numPr>
        <w:jc w:val="both"/>
        <w:rPr>
          <w:szCs w:val="24"/>
        </w:rPr>
      </w:pPr>
      <w:r w:rsidRPr="003D54DD">
        <w:rPr>
          <w:rFonts w:cs="Arial"/>
          <w:bCs/>
          <w:szCs w:val="24"/>
        </w:rPr>
        <w:t>Disposición</w:t>
      </w:r>
      <w:r w:rsidRPr="003D54DD">
        <w:rPr>
          <w:szCs w:val="24"/>
        </w:rPr>
        <w:t xml:space="preserve"> de una herramienta común y homogénea, para centralizar la gestión de cobros en el Centro de Servicios Compartidos.</w:t>
      </w:r>
    </w:p>
    <w:p w:rsidR="000F0AFB" w:rsidRPr="003D54DD" w:rsidRDefault="000F0AFB" w:rsidP="000F0AFB">
      <w:pPr>
        <w:ind w:left="360"/>
        <w:jc w:val="both"/>
        <w:rPr>
          <w:szCs w:val="24"/>
        </w:rPr>
      </w:pPr>
    </w:p>
    <w:p w:rsidR="000F0AFB" w:rsidRPr="003D54DD" w:rsidRDefault="000F0AFB" w:rsidP="00865401">
      <w:pPr>
        <w:numPr>
          <w:ilvl w:val="0"/>
          <w:numId w:val="16"/>
        </w:numPr>
        <w:jc w:val="both"/>
        <w:rPr>
          <w:szCs w:val="24"/>
        </w:rPr>
      </w:pPr>
      <w:r w:rsidRPr="003D54DD">
        <w:rPr>
          <w:szCs w:val="24"/>
        </w:rPr>
        <w:t xml:space="preserve">Se </w:t>
      </w:r>
      <w:r w:rsidR="00364013" w:rsidRPr="003D54DD">
        <w:rPr>
          <w:szCs w:val="24"/>
        </w:rPr>
        <w:t>finalizará</w:t>
      </w:r>
      <w:r w:rsidRPr="003D54DD">
        <w:rPr>
          <w:szCs w:val="24"/>
        </w:rPr>
        <w:t xml:space="preserve"> la implantación en el Grupo Fundosa de un módulo de </w:t>
      </w:r>
      <w:r w:rsidRPr="003D54DD">
        <w:rPr>
          <w:rFonts w:cs="Arial"/>
          <w:bCs/>
          <w:szCs w:val="24"/>
        </w:rPr>
        <w:t>comunicación</w:t>
      </w:r>
      <w:r w:rsidRPr="003D54DD">
        <w:rPr>
          <w:szCs w:val="24"/>
        </w:rPr>
        <w:t xml:space="preserve"> bancaria similar al de Ceosa y de un sistema de barridos de cuentas.</w:t>
      </w:r>
    </w:p>
    <w:p w:rsidR="000F0AFB" w:rsidRPr="003D54DD" w:rsidRDefault="000F0AFB" w:rsidP="000F0AFB">
      <w:pPr>
        <w:pStyle w:val="Prrafodelista"/>
        <w:ind w:left="360"/>
        <w:jc w:val="both"/>
        <w:rPr>
          <w:szCs w:val="24"/>
        </w:rPr>
      </w:pPr>
    </w:p>
    <w:p w:rsidR="000F0AFB" w:rsidRPr="003D54DD" w:rsidRDefault="000F0AFB" w:rsidP="00865401">
      <w:pPr>
        <w:numPr>
          <w:ilvl w:val="0"/>
          <w:numId w:val="16"/>
        </w:numPr>
        <w:jc w:val="both"/>
        <w:rPr>
          <w:szCs w:val="24"/>
        </w:rPr>
      </w:pPr>
      <w:r w:rsidRPr="003D54DD">
        <w:rPr>
          <w:szCs w:val="24"/>
        </w:rPr>
        <w:t xml:space="preserve">Igualmente también está previsto implantar un módulo de deuda, que permita gestionar </w:t>
      </w:r>
      <w:r w:rsidRPr="003D54DD">
        <w:rPr>
          <w:rFonts w:cs="Arial"/>
          <w:bCs/>
          <w:szCs w:val="24"/>
        </w:rPr>
        <w:t>conjuntamente</w:t>
      </w:r>
      <w:r w:rsidRPr="003D54DD">
        <w:rPr>
          <w:szCs w:val="24"/>
        </w:rPr>
        <w:t xml:space="preserve"> cualquier tipología de endeudamiento bancario, préstamos, avales, leasing, etc.</w:t>
      </w:r>
    </w:p>
    <w:p w:rsidR="000F0AFB" w:rsidRPr="003D54DD" w:rsidRDefault="000F0AFB" w:rsidP="000F0AFB">
      <w:pPr>
        <w:pStyle w:val="Prrafodelista"/>
        <w:ind w:left="6"/>
        <w:jc w:val="both"/>
        <w:rPr>
          <w:b/>
          <w:bCs/>
          <w:szCs w:val="24"/>
        </w:rPr>
      </w:pPr>
    </w:p>
    <w:p w:rsidR="000F0AFB" w:rsidRPr="003D54DD" w:rsidRDefault="000F0AFB" w:rsidP="00865401">
      <w:pPr>
        <w:pStyle w:val="Prrafodelista"/>
        <w:numPr>
          <w:ilvl w:val="0"/>
          <w:numId w:val="17"/>
        </w:numPr>
        <w:contextualSpacing/>
        <w:jc w:val="both"/>
        <w:rPr>
          <w:szCs w:val="24"/>
        </w:rPr>
      </w:pPr>
      <w:r w:rsidRPr="003D54DD">
        <w:rPr>
          <w:szCs w:val="24"/>
        </w:rPr>
        <w:t>Implantación SAP BPM - Oficina sin papeles.</w:t>
      </w:r>
    </w:p>
    <w:p w:rsidR="000F0AFB" w:rsidRPr="003D54DD" w:rsidRDefault="000F0AFB" w:rsidP="000F0AFB">
      <w:pPr>
        <w:jc w:val="both"/>
        <w:rPr>
          <w:szCs w:val="24"/>
        </w:rPr>
      </w:pPr>
    </w:p>
    <w:p w:rsidR="000F0AFB" w:rsidRPr="003D54DD" w:rsidRDefault="000F0AFB" w:rsidP="00865401">
      <w:pPr>
        <w:numPr>
          <w:ilvl w:val="0"/>
          <w:numId w:val="16"/>
        </w:numPr>
        <w:jc w:val="both"/>
        <w:rPr>
          <w:szCs w:val="24"/>
        </w:rPr>
      </w:pPr>
      <w:r w:rsidRPr="003D54DD">
        <w:rPr>
          <w:szCs w:val="24"/>
        </w:rPr>
        <w:t>Se encuentra en proceso de implantación esta herramienta que permite automatizar los procesos corporativos de uso generalizado, homogéneos y de uso frecuente por toda la organización, y que, actualmente se sustentan en procesos manuales bajo el uso de papel o automatizados en parte y finalizando en un control manual.</w:t>
      </w:r>
    </w:p>
    <w:p w:rsidR="000F0AFB" w:rsidRPr="003D54DD" w:rsidRDefault="000F0AFB" w:rsidP="000F0AFB">
      <w:pPr>
        <w:pStyle w:val="Prrafodelista"/>
        <w:ind w:left="428"/>
        <w:jc w:val="both"/>
        <w:rPr>
          <w:szCs w:val="24"/>
        </w:rPr>
      </w:pPr>
    </w:p>
    <w:p w:rsidR="00B01580" w:rsidRDefault="00B01580" w:rsidP="00B01580">
      <w:pPr>
        <w:pStyle w:val="Prrafodelista"/>
        <w:numPr>
          <w:ilvl w:val="0"/>
          <w:numId w:val="17"/>
        </w:numPr>
        <w:contextualSpacing/>
        <w:jc w:val="both"/>
        <w:rPr>
          <w:szCs w:val="24"/>
        </w:rPr>
      </w:pPr>
      <w:r>
        <w:rPr>
          <w:szCs w:val="24"/>
        </w:rPr>
        <w:t>Sistemas de Información Business Intelligence (BI): Se realizará un análisis de las herramientas de BI (para el análisis de información) disponibles en el mercado para el tratamiento de los datos en entornos SAP y operacionales para poder ofrecer al Grupo un sistema de información accesible, fiable y con reconocida experiencia e implantación en el mercado.  </w:t>
      </w:r>
    </w:p>
    <w:p w:rsidR="00B01580" w:rsidRDefault="00B01580" w:rsidP="00B01580">
      <w:pPr>
        <w:pStyle w:val="Prrafodelista"/>
        <w:ind w:left="360"/>
        <w:contextualSpacing/>
        <w:jc w:val="both"/>
        <w:rPr>
          <w:szCs w:val="24"/>
        </w:rPr>
      </w:pPr>
      <w:r>
        <w:rPr>
          <w:szCs w:val="24"/>
        </w:rPr>
        <w:t xml:space="preserve"> </w:t>
      </w:r>
    </w:p>
    <w:p w:rsidR="000F0AFB" w:rsidRPr="00B01580" w:rsidRDefault="00B01580" w:rsidP="00B01580">
      <w:pPr>
        <w:pStyle w:val="Prrafodelista"/>
        <w:numPr>
          <w:ilvl w:val="0"/>
          <w:numId w:val="17"/>
        </w:numPr>
        <w:contextualSpacing/>
        <w:jc w:val="both"/>
        <w:rPr>
          <w:szCs w:val="24"/>
        </w:rPr>
      </w:pPr>
      <w:r w:rsidRPr="00B01580">
        <w:rPr>
          <w:szCs w:val="24"/>
        </w:rPr>
        <w:t xml:space="preserve">Unificación de Sistemas SAP: </w:t>
      </w:r>
      <w:r w:rsidR="000F0AFB" w:rsidRPr="00B01580">
        <w:rPr>
          <w:szCs w:val="24"/>
        </w:rPr>
        <w:t xml:space="preserve">Se </w:t>
      </w:r>
      <w:r w:rsidR="00364013" w:rsidRPr="00B01580">
        <w:rPr>
          <w:rFonts w:cs="Arial"/>
          <w:bCs/>
          <w:szCs w:val="24"/>
        </w:rPr>
        <w:t>iniciará</w:t>
      </w:r>
      <w:r w:rsidR="00364013" w:rsidRPr="00B01580">
        <w:rPr>
          <w:szCs w:val="24"/>
        </w:rPr>
        <w:t xml:space="preserve"> el </w:t>
      </w:r>
      <w:r w:rsidR="000F0AFB" w:rsidRPr="00B01580">
        <w:rPr>
          <w:szCs w:val="24"/>
        </w:rPr>
        <w:t>an</w:t>
      </w:r>
      <w:r w:rsidR="00364013" w:rsidRPr="00B01580">
        <w:rPr>
          <w:szCs w:val="24"/>
        </w:rPr>
        <w:t>álisis</w:t>
      </w:r>
      <w:r w:rsidR="000F0AFB" w:rsidRPr="00B01580">
        <w:rPr>
          <w:szCs w:val="24"/>
        </w:rPr>
        <w:t xml:space="preserve"> las distintas alternativas para la homogenización de procesos y datos en los sistemas SAP Fundosa y SAP Ceosa para alcanzar un tratamiento de datos y procesos único de los sistemas SAP.</w:t>
      </w:r>
    </w:p>
    <w:p w:rsidR="000F0AFB" w:rsidRDefault="000F0AFB" w:rsidP="000F0AFB">
      <w:pPr>
        <w:ind w:left="360"/>
        <w:jc w:val="both"/>
        <w:rPr>
          <w:szCs w:val="24"/>
        </w:rPr>
      </w:pPr>
    </w:p>
    <w:p w:rsidR="005D4012" w:rsidRPr="003D54DD" w:rsidRDefault="005D4012" w:rsidP="000F0AFB">
      <w:pPr>
        <w:ind w:left="360"/>
        <w:jc w:val="both"/>
        <w:rPr>
          <w:szCs w:val="24"/>
        </w:rPr>
      </w:pPr>
    </w:p>
    <w:p w:rsidR="00325F07" w:rsidRPr="00BF7448" w:rsidRDefault="00325F07" w:rsidP="00325F07">
      <w:pPr>
        <w:pStyle w:val="Ttulo2"/>
        <w:numPr>
          <w:ilvl w:val="1"/>
          <w:numId w:val="3"/>
        </w:numPr>
        <w:tabs>
          <w:tab w:val="clear" w:pos="1080"/>
          <w:tab w:val="num" w:pos="360"/>
        </w:tabs>
        <w:spacing w:before="0" w:after="0"/>
        <w:ind w:left="360"/>
        <w:rPr>
          <w:i w:val="0"/>
          <w:color w:val="016FB8"/>
          <w:sz w:val="24"/>
          <w:szCs w:val="24"/>
          <w:u w:val="single"/>
        </w:rPr>
      </w:pPr>
      <w:bookmarkStart w:id="19" w:name="_Toc403984306"/>
      <w:r w:rsidRPr="00BF7448">
        <w:rPr>
          <w:i w:val="0"/>
          <w:color w:val="016FB8"/>
          <w:sz w:val="24"/>
          <w:szCs w:val="24"/>
          <w:u w:val="single"/>
        </w:rPr>
        <w:t>Responsabilidad Social Empresarial (RSE)</w:t>
      </w:r>
      <w:bookmarkEnd w:id="19"/>
    </w:p>
    <w:p w:rsidR="00325F07" w:rsidRPr="003D54DD" w:rsidRDefault="00325F07" w:rsidP="00325F07">
      <w:pPr>
        <w:pStyle w:val="Body1"/>
        <w:spacing w:after="0" w:line="240" w:lineRule="auto"/>
        <w:ind w:left="284"/>
        <w:jc w:val="both"/>
        <w:rPr>
          <w:rFonts w:ascii="Arial" w:hAnsi="Arial" w:cs="Arial"/>
          <w:color w:val="auto"/>
          <w:sz w:val="24"/>
          <w:szCs w:val="24"/>
        </w:rPr>
      </w:pPr>
    </w:p>
    <w:p w:rsidR="00325F07" w:rsidRPr="003D54DD" w:rsidRDefault="00325F07" w:rsidP="00325F07">
      <w:pPr>
        <w:jc w:val="both"/>
        <w:rPr>
          <w:rFonts w:cs="Arial"/>
          <w:szCs w:val="24"/>
        </w:rPr>
      </w:pPr>
      <w:r w:rsidRPr="003D54DD">
        <w:rPr>
          <w:rFonts w:cs="Arial"/>
          <w:szCs w:val="24"/>
        </w:rPr>
        <w:t>Como Grupo socialmente responsable, se continuará trabajando, además de en la integración laboral de personas con especiales dificultades de inserción, en el desarrollo de proyectos innovadores que impulsen su compromiso social.</w:t>
      </w:r>
    </w:p>
    <w:p w:rsidR="00325F07" w:rsidRPr="003D54DD" w:rsidRDefault="00325F07" w:rsidP="00325F07">
      <w:pPr>
        <w:ind w:left="284"/>
        <w:jc w:val="both"/>
        <w:rPr>
          <w:rFonts w:cs="Arial"/>
          <w:szCs w:val="24"/>
        </w:rPr>
      </w:pPr>
    </w:p>
    <w:p w:rsidR="00325F07" w:rsidRPr="003D54DD" w:rsidRDefault="00325F07" w:rsidP="00325F07">
      <w:pPr>
        <w:shd w:val="clear" w:color="auto" w:fill="FFFFFF"/>
        <w:jc w:val="both"/>
        <w:rPr>
          <w:rFonts w:cs="Arial"/>
          <w:bCs/>
          <w:szCs w:val="24"/>
        </w:rPr>
      </w:pPr>
      <w:r w:rsidRPr="003D54DD">
        <w:rPr>
          <w:rFonts w:cs="Arial"/>
          <w:bCs/>
          <w:szCs w:val="24"/>
        </w:rPr>
        <w:t>En 2014 se ha publicado la primera memoria/ informe de RSE/ valor compartido del Grupo de Empresas de la ONCE y de su Fundación.</w:t>
      </w:r>
    </w:p>
    <w:p w:rsidR="00325F07" w:rsidRPr="003D54DD" w:rsidRDefault="00325F07" w:rsidP="00325F07">
      <w:pPr>
        <w:jc w:val="both"/>
        <w:rPr>
          <w:rFonts w:cs="Arial"/>
          <w:szCs w:val="24"/>
        </w:rPr>
      </w:pPr>
    </w:p>
    <w:p w:rsidR="00325F07" w:rsidRPr="003D54DD" w:rsidRDefault="00325F07" w:rsidP="00325F07">
      <w:pPr>
        <w:jc w:val="both"/>
        <w:rPr>
          <w:rFonts w:cs="Arial"/>
          <w:szCs w:val="24"/>
        </w:rPr>
      </w:pPr>
      <w:r w:rsidRPr="003D54DD">
        <w:rPr>
          <w:rFonts w:cs="Arial"/>
          <w:szCs w:val="24"/>
        </w:rPr>
        <w:lastRenderedPageBreak/>
        <w:t xml:space="preserve">Para el ejercicio 2015 </w:t>
      </w:r>
      <w:r w:rsidR="005D7904">
        <w:rPr>
          <w:rFonts w:cs="Arial"/>
          <w:szCs w:val="24"/>
        </w:rPr>
        <w:t>se establecerá la estrategia adecuada para lograr un mejor posicionamiento como Grupo de referencia en lo que a RSE en general, y en lo que a la discapacidad, igualdad de género, conciliación de la vida laboral y personal en particular se refiere. Las principales líneas de actuación</w:t>
      </w:r>
      <w:r w:rsidRPr="003D54DD">
        <w:rPr>
          <w:rFonts w:cs="Arial"/>
          <w:szCs w:val="24"/>
        </w:rPr>
        <w:t xml:space="preserve"> se resumen a continuación:</w:t>
      </w:r>
    </w:p>
    <w:p w:rsidR="00325F07" w:rsidRPr="003D54DD" w:rsidRDefault="00325F07" w:rsidP="00325F07">
      <w:pPr>
        <w:jc w:val="both"/>
        <w:rPr>
          <w:rFonts w:cs="Arial"/>
          <w:szCs w:val="24"/>
        </w:rPr>
      </w:pPr>
    </w:p>
    <w:p w:rsidR="00325F07" w:rsidRPr="003D54DD" w:rsidRDefault="00325F07" w:rsidP="00325F07">
      <w:pPr>
        <w:pStyle w:val="Prrafodelista"/>
        <w:numPr>
          <w:ilvl w:val="0"/>
          <w:numId w:val="17"/>
        </w:numPr>
        <w:contextualSpacing/>
        <w:jc w:val="both"/>
        <w:rPr>
          <w:rFonts w:cs="Arial"/>
          <w:szCs w:val="24"/>
        </w:rPr>
      </w:pPr>
      <w:r w:rsidRPr="003D54DD">
        <w:rPr>
          <w:rFonts w:cs="Arial"/>
          <w:bCs/>
          <w:szCs w:val="24"/>
        </w:rPr>
        <w:t>Fomentar</w:t>
      </w:r>
      <w:r w:rsidRPr="003D54DD">
        <w:rPr>
          <w:rFonts w:cs="Arial"/>
          <w:szCs w:val="24"/>
        </w:rPr>
        <w:t xml:space="preserve"> el conocimiento y las buenas prácticas entre los agentes económicos y sociales de nuestro país sobre RSE-D, como elemento coadyuvante de la inclusión y la mejora de la calidad de vida de las personas con discapacidad.</w:t>
      </w:r>
    </w:p>
    <w:p w:rsidR="00325F07" w:rsidRPr="003D54DD" w:rsidRDefault="00325F07" w:rsidP="00325F07">
      <w:pPr>
        <w:jc w:val="both"/>
        <w:rPr>
          <w:rFonts w:cs="Arial"/>
          <w:szCs w:val="24"/>
        </w:rPr>
      </w:pPr>
    </w:p>
    <w:p w:rsidR="00325F07" w:rsidRPr="003D54DD" w:rsidRDefault="00325F07" w:rsidP="00325F07">
      <w:pPr>
        <w:pStyle w:val="Prrafodelista"/>
        <w:numPr>
          <w:ilvl w:val="0"/>
          <w:numId w:val="17"/>
        </w:numPr>
        <w:contextualSpacing/>
        <w:jc w:val="both"/>
        <w:rPr>
          <w:rFonts w:cs="Arial"/>
          <w:szCs w:val="24"/>
        </w:rPr>
      </w:pPr>
      <w:r w:rsidRPr="003D54DD">
        <w:rPr>
          <w:szCs w:val="24"/>
        </w:rPr>
        <w:t>Colaboración</w:t>
      </w:r>
      <w:r w:rsidRPr="003D54DD">
        <w:rPr>
          <w:rFonts w:cs="Arial"/>
          <w:szCs w:val="24"/>
        </w:rPr>
        <w:t xml:space="preserve"> con el área comercial para el </w:t>
      </w:r>
      <w:r w:rsidRPr="003D54DD">
        <w:rPr>
          <w:rFonts w:cs="Arial"/>
          <w:bCs/>
          <w:szCs w:val="24"/>
        </w:rPr>
        <w:t>alineamiento</w:t>
      </w:r>
      <w:r w:rsidRPr="003D54DD">
        <w:rPr>
          <w:rFonts w:cs="Arial"/>
          <w:szCs w:val="24"/>
        </w:rPr>
        <w:t xml:space="preserve"> de sus políticas con el discurso de la RSE-D: sello de excelencia en Discapacidad.</w:t>
      </w:r>
    </w:p>
    <w:p w:rsidR="00325F07" w:rsidRPr="003D54DD" w:rsidRDefault="00325F07" w:rsidP="00325F07">
      <w:pPr>
        <w:jc w:val="both"/>
        <w:rPr>
          <w:rFonts w:cs="Arial"/>
          <w:szCs w:val="24"/>
        </w:rPr>
      </w:pPr>
    </w:p>
    <w:p w:rsidR="00325F07" w:rsidRPr="003D54DD" w:rsidRDefault="00325F07" w:rsidP="00325F07">
      <w:pPr>
        <w:pStyle w:val="Prrafodelista"/>
        <w:numPr>
          <w:ilvl w:val="0"/>
          <w:numId w:val="17"/>
        </w:numPr>
        <w:contextualSpacing/>
        <w:jc w:val="both"/>
        <w:rPr>
          <w:rFonts w:cs="Arial"/>
          <w:szCs w:val="24"/>
        </w:rPr>
      </w:pPr>
      <w:r w:rsidRPr="003D54DD">
        <w:rPr>
          <w:rFonts w:cs="Arial"/>
          <w:szCs w:val="24"/>
        </w:rPr>
        <w:t xml:space="preserve">Implementar y coordinar actuaciones a largo, medio y corto plazo encaminadas a que en </w:t>
      </w:r>
      <w:r w:rsidRPr="003D54DD">
        <w:rPr>
          <w:szCs w:val="24"/>
        </w:rPr>
        <w:t>todos</w:t>
      </w:r>
      <w:r w:rsidRPr="003D54DD">
        <w:rPr>
          <w:rFonts w:cs="Arial"/>
          <w:szCs w:val="24"/>
        </w:rPr>
        <w:t xml:space="preserve"> los ámbitos de la gestión se trabaje de acuerdo a buenas prácticas responsables, que superen en la medida de lo posible y de forma progresiva, el marco legal vigente.</w:t>
      </w:r>
    </w:p>
    <w:p w:rsidR="00325F07" w:rsidRPr="003D54DD" w:rsidRDefault="00325F07" w:rsidP="00325F07">
      <w:pPr>
        <w:jc w:val="both"/>
        <w:rPr>
          <w:rFonts w:cs="Arial"/>
          <w:szCs w:val="24"/>
        </w:rPr>
      </w:pPr>
    </w:p>
    <w:p w:rsidR="00325F07" w:rsidRPr="003D54DD" w:rsidRDefault="00325F07" w:rsidP="00325F07">
      <w:pPr>
        <w:jc w:val="both"/>
        <w:rPr>
          <w:rFonts w:cs="Arial"/>
          <w:szCs w:val="24"/>
        </w:rPr>
      </w:pPr>
      <w:r w:rsidRPr="003D54DD">
        <w:rPr>
          <w:rFonts w:cs="Arial"/>
          <w:szCs w:val="24"/>
        </w:rPr>
        <w:t>En definitiva, la estrategia de RSE propuesta para la Fundación ONCE y el Grupo de Empresas es ser una organización responsable y comprometida con sus impactos en la sociedad, con atención prioritaria a las personas con discapacidad y sus familias.</w:t>
      </w:r>
    </w:p>
    <w:p w:rsidR="00325F07" w:rsidRDefault="00325F07" w:rsidP="000F0AFB">
      <w:pPr>
        <w:ind w:left="360"/>
        <w:jc w:val="both"/>
        <w:rPr>
          <w:szCs w:val="24"/>
        </w:rPr>
      </w:pPr>
    </w:p>
    <w:p w:rsidR="00325F07" w:rsidRPr="003D54DD" w:rsidRDefault="00325F07" w:rsidP="000F0AFB">
      <w:pPr>
        <w:ind w:left="360"/>
        <w:jc w:val="both"/>
        <w:rPr>
          <w:szCs w:val="24"/>
        </w:rPr>
      </w:pPr>
    </w:p>
    <w:p w:rsidR="00221C41" w:rsidRPr="00BF7448" w:rsidRDefault="00364013" w:rsidP="00865401">
      <w:pPr>
        <w:pStyle w:val="Ttulo2"/>
        <w:numPr>
          <w:ilvl w:val="1"/>
          <w:numId w:val="3"/>
        </w:numPr>
        <w:tabs>
          <w:tab w:val="clear" w:pos="1080"/>
          <w:tab w:val="num" w:pos="360"/>
        </w:tabs>
        <w:spacing w:before="0" w:after="0"/>
        <w:ind w:left="360"/>
        <w:jc w:val="both"/>
        <w:rPr>
          <w:i w:val="0"/>
          <w:color w:val="016FB8"/>
          <w:sz w:val="24"/>
          <w:szCs w:val="24"/>
          <w:u w:val="single"/>
        </w:rPr>
      </w:pPr>
      <w:bookmarkStart w:id="20" w:name="_Toc403984307"/>
      <w:r w:rsidRPr="00BF7448">
        <w:rPr>
          <w:i w:val="0"/>
          <w:color w:val="016FB8"/>
          <w:sz w:val="24"/>
          <w:szCs w:val="24"/>
          <w:u w:val="single"/>
        </w:rPr>
        <w:t>Compromiso con la calidad, gestión ambiental y salud y seguridad laboral</w:t>
      </w:r>
      <w:bookmarkEnd w:id="20"/>
    </w:p>
    <w:p w:rsidR="00221C41" w:rsidRPr="003D54DD" w:rsidRDefault="00221C41" w:rsidP="00221C41">
      <w:pPr>
        <w:pStyle w:val="Body1"/>
        <w:spacing w:after="0" w:line="240" w:lineRule="auto"/>
        <w:ind w:left="284"/>
        <w:jc w:val="both"/>
        <w:rPr>
          <w:rFonts w:ascii="Arial" w:hAnsi="Arial" w:cs="Arial"/>
          <w:color w:val="auto"/>
          <w:sz w:val="24"/>
          <w:szCs w:val="24"/>
        </w:rPr>
      </w:pPr>
    </w:p>
    <w:p w:rsidR="00364013" w:rsidRPr="003D54DD" w:rsidRDefault="00364013" w:rsidP="00364013">
      <w:pPr>
        <w:pStyle w:val="Prrafodelista"/>
        <w:ind w:left="0"/>
        <w:contextualSpacing/>
        <w:jc w:val="both"/>
        <w:rPr>
          <w:rFonts w:cs="Arial"/>
          <w:szCs w:val="24"/>
        </w:rPr>
      </w:pPr>
      <w:bookmarkStart w:id="21" w:name="_Toc325054426"/>
      <w:r w:rsidRPr="003D54DD">
        <w:rPr>
          <w:rFonts w:cs="Arial"/>
          <w:szCs w:val="24"/>
        </w:rPr>
        <w:t xml:space="preserve">A finales de 2013, se ha creado un área común en el Grupo Fundosa y Ceosa para los sistemas de gestión, certificaciones, calidad, medio ambiente, etc. El Departamento de Sistemas de Gestión y Certificaciones se integra dentro de la Dirección Corporativa de </w:t>
      </w:r>
      <w:r w:rsidR="00AA6D43">
        <w:rPr>
          <w:rFonts w:cs="Arial"/>
          <w:szCs w:val="24"/>
        </w:rPr>
        <w:t>RSC, Comunicación y Marketing</w:t>
      </w:r>
      <w:r w:rsidRPr="003D54DD">
        <w:rPr>
          <w:rFonts w:cs="Arial"/>
          <w:szCs w:val="24"/>
        </w:rPr>
        <w:t xml:space="preserve"> y tiene como objetivo principal, promover sinergias tanto de conocimiento como de optimización de recursos y costes de certificación..</w:t>
      </w:r>
    </w:p>
    <w:p w:rsidR="00364013" w:rsidRPr="003D54DD" w:rsidRDefault="00364013" w:rsidP="00364013">
      <w:pPr>
        <w:pStyle w:val="Prrafodelista"/>
        <w:ind w:left="0"/>
        <w:contextualSpacing/>
        <w:jc w:val="both"/>
        <w:rPr>
          <w:rFonts w:cs="Arial"/>
          <w:szCs w:val="24"/>
        </w:rPr>
      </w:pPr>
    </w:p>
    <w:p w:rsidR="00364013" w:rsidRPr="003D54DD" w:rsidRDefault="00364013" w:rsidP="00364013">
      <w:pPr>
        <w:pStyle w:val="Prrafodelista2"/>
        <w:spacing w:after="0" w:line="240" w:lineRule="auto"/>
        <w:ind w:left="0"/>
        <w:jc w:val="both"/>
        <w:rPr>
          <w:rFonts w:ascii="Arial" w:hAnsi="Arial" w:cs="Arial"/>
          <w:sz w:val="24"/>
          <w:szCs w:val="24"/>
        </w:rPr>
      </w:pPr>
      <w:r w:rsidRPr="003D54DD">
        <w:rPr>
          <w:rFonts w:ascii="Arial" w:hAnsi="Arial" w:cs="Arial"/>
          <w:sz w:val="24"/>
          <w:szCs w:val="24"/>
        </w:rPr>
        <w:t>Para el ejercicio 2015 las actuaciones en materia de certificación serán las siguientes:</w:t>
      </w:r>
    </w:p>
    <w:p w:rsidR="00364013" w:rsidRPr="003D54DD" w:rsidRDefault="00364013" w:rsidP="00364013">
      <w:pPr>
        <w:pStyle w:val="Prrafodelista2"/>
        <w:spacing w:after="0" w:line="240" w:lineRule="auto"/>
        <w:ind w:left="0"/>
        <w:jc w:val="both"/>
        <w:rPr>
          <w:rFonts w:ascii="Arial" w:hAnsi="Arial" w:cs="Arial"/>
          <w:sz w:val="24"/>
          <w:szCs w:val="24"/>
        </w:rPr>
      </w:pPr>
    </w:p>
    <w:p w:rsidR="00364013" w:rsidRPr="003D54DD" w:rsidRDefault="00364013" w:rsidP="00865401">
      <w:pPr>
        <w:pStyle w:val="Prrafodelista"/>
        <w:numPr>
          <w:ilvl w:val="0"/>
          <w:numId w:val="17"/>
        </w:numPr>
        <w:contextualSpacing/>
        <w:jc w:val="both"/>
        <w:rPr>
          <w:rFonts w:cs="Arial"/>
          <w:szCs w:val="24"/>
        </w:rPr>
      </w:pPr>
      <w:r w:rsidRPr="003D54DD">
        <w:rPr>
          <w:rFonts w:cs="Arial"/>
          <w:szCs w:val="24"/>
        </w:rPr>
        <w:t xml:space="preserve">Se continuará potenciando el proceso de certificación en las tres normas básicas así como en normas específicas de cada sector. </w:t>
      </w:r>
    </w:p>
    <w:p w:rsidR="00364013" w:rsidRPr="003D54DD" w:rsidRDefault="00364013" w:rsidP="00364013">
      <w:pPr>
        <w:pStyle w:val="Prrafodelista"/>
        <w:ind w:left="428"/>
        <w:contextualSpacing/>
        <w:jc w:val="both"/>
        <w:rPr>
          <w:rFonts w:cs="Arial"/>
          <w:szCs w:val="24"/>
        </w:rPr>
      </w:pPr>
    </w:p>
    <w:p w:rsidR="00364013" w:rsidRPr="003D54DD" w:rsidRDefault="00364013" w:rsidP="00865401">
      <w:pPr>
        <w:pStyle w:val="Prrafodelista"/>
        <w:numPr>
          <w:ilvl w:val="0"/>
          <w:numId w:val="17"/>
        </w:numPr>
        <w:contextualSpacing/>
        <w:jc w:val="both"/>
        <w:rPr>
          <w:rFonts w:cs="Arial"/>
          <w:szCs w:val="24"/>
        </w:rPr>
      </w:pPr>
      <w:r w:rsidRPr="003D54DD">
        <w:rPr>
          <w:rFonts w:cs="Arial"/>
          <w:szCs w:val="24"/>
        </w:rPr>
        <w:t xml:space="preserve">Se plantea como objetivo continuar con la certificación de los Centros Especiales de Empleo en la Especificación para la Gestión Ética y Profesionalizada de los Centros Especiales de Empleo. </w:t>
      </w:r>
    </w:p>
    <w:p w:rsidR="00364013" w:rsidRPr="003D54DD" w:rsidRDefault="00364013" w:rsidP="00364013">
      <w:pPr>
        <w:pStyle w:val="Prrafodelista"/>
        <w:ind w:left="428"/>
        <w:contextualSpacing/>
        <w:jc w:val="both"/>
        <w:rPr>
          <w:rFonts w:cs="Arial"/>
          <w:szCs w:val="24"/>
        </w:rPr>
      </w:pPr>
    </w:p>
    <w:p w:rsidR="00364013" w:rsidRPr="003D54DD" w:rsidRDefault="00364013" w:rsidP="00865401">
      <w:pPr>
        <w:pStyle w:val="Prrafodelista"/>
        <w:numPr>
          <w:ilvl w:val="0"/>
          <w:numId w:val="17"/>
        </w:numPr>
        <w:contextualSpacing/>
        <w:jc w:val="both"/>
        <w:rPr>
          <w:rFonts w:cs="Arial"/>
          <w:szCs w:val="24"/>
        </w:rPr>
      </w:pPr>
      <w:r w:rsidRPr="003D54DD">
        <w:rPr>
          <w:rFonts w:cs="Arial"/>
          <w:szCs w:val="24"/>
        </w:rPr>
        <w:t xml:space="preserve">Se trabajará en homogeneizar los Sistemas Integrados de Gestión de las </w:t>
      </w:r>
      <w:r w:rsidRPr="003D54DD">
        <w:rPr>
          <w:szCs w:val="24"/>
        </w:rPr>
        <w:t>empresas</w:t>
      </w:r>
      <w:r w:rsidRPr="003D54DD">
        <w:rPr>
          <w:rFonts w:cs="Arial"/>
          <w:szCs w:val="24"/>
        </w:rPr>
        <w:t xml:space="preserve"> de los Grupos Empresariales, y en implantar una aplicación informática para poder tener la información de los Sistemas Integrados de Gestión centralizada. </w:t>
      </w:r>
    </w:p>
    <w:p w:rsidR="00364013" w:rsidRPr="003D54DD" w:rsidRDefault="00364013" w:rsidP="00364013">
      <w:pPr>
        <w:pStyle w:val="Prrafodelista"/>
        <w:rPr>
          <w:rFonts w:cs="Arial"/>
          <w:szCs w:val="24"/>
        </w:rPr>
      </w:pPr>
    </w:p>
    <w:p w:rsidR="00364013" w:rsidRPr="003D54DD" w:rsidRDefault="00364013" w:rsidP="00865401">
      <w:pPr>
        <w:pStyle w:val="Prrafodelista"/>
        <w:numPr>
          <w:ilvl w:val="0"/>
          <w:numId w:val="17"/>
        </w:numPr>
        <w:contextualSpacing/>
        <w:jc w:val="both"/>
        <w:rPr>
          <w:rFonts w:cs="Arial"/>
          <w:szCs w:val="24"/>
        </w:rPr>
      </w:pPr>
      <w:r w:rsidRPr="003D54DD">
        <w:rPr>
          <w:rFonts w:cs="Arial"/>
          <w:szCs w:val="24"/>
        </w:rPr>
        <w:t xml:space="preserve">Se </w:t>
      </w:r>
      <w:r w:rsidRPr="003D54DD">
        <w:rPr>
          <w:szCs w:val="24"/>
        </w:rPr>
        <w:t>trabajará</w:t>
      </w:r>
      <w:r w:rsidRPr="003D54DD">
        <w:rPr>
          <w:rFonts w:cs="Arial"/>
          <w:szCs w:val="24"/>
        </w:rPr>
        <w:t xml:space="preserve"> en el proyecto de certificación en materia de RSC como sistema de gestión, centrándose en la obtención del sello BEQUAL que acredita a las empresas socialmente responsables con las personas con discapacidad.</w:t>
      </w:r>
    </w:p>
    <w:p w:rsidR="00DB2344" w:rsidRPr="003D54DD" w:rsidRDefault="00DB2344" w:rsidP="00DB2344"/>
    <w:p w:rsidR="00784AB2" w:rsidRPr="003D54DD" w:rsidRDefault="00784AB2" w:rsidP="00DB2344"/>
    <w:p w:rsidR="00221C41" w:rsidRPr="00BF7448" w:rsidRDefault="00364013" w:rsidP="00865401">
      <w:pPr>
        <w:pStyle w:val="Ttulo2"/>
        <w:numPr>
          <w:ilvl w:val="1"/>
          <w:numId w:val="3"/>
        </w:numPr>
        <w:tabs>
          <w:tab w:val="clear" w:pos="1080"/>
          <w:tab w:val="num" w:pos="360"/>
        </w:tabs>
        <w:spacing w:before="0" w:after="0"/>
        <w:ind w:left="360"/>
        <w:jc w:val="both"/>
        <w:rPr>
          <w:i w:val="0"/>
          <w:color w:val="016FB8"/>
          <w:sz w:val="24"/>
          <w:szCs w:val="24"/>
          <w:u w:val="single"/>
        </w:rPr>
      </w:pPr>
      <w:bookmarkStart w:id="22" w:name="_Toc403984308"/>
      <w:r w:rsidRPr="00BF7448">
        <w:rPr>
          <w:i w:val="0"/>
          <w:color w:val="016FB8"/>
          <w:sz w:val="24"/>
          <w:szCs w:val="24"/>
          <w:u w:val="single"/>
        </w:rPr>
        <w:t>Empresas participadas</w:t>
      </w:r>
      <w:bookmarkEnd w:id="21"/>
      <w:bookmarkEnd w:id="22"/>
    </w:p>
    <w:p w:rsidR="00221C41" w:rsidRPr="003D54DD" w:rsidRDefault="00221C41" w:rsidP="00221C41">
      <w:pPr>
        <w:jc w:val="both"/>
        <w:rPr>
          <w:rFonts w:cs="Arial"/>
          <w:szCs w:val="24"/>
        </w:rPr>
      </w:pPr>
    </w:p>
    <w:p w:rsidR="00364013" w:rsidRPr="003D54DD" w:rsidRDefault="00364013" w:rsidP="00364013">
      <w:pPr>
        <w:jc w:val="both"/>
        <w:rPr>
          <w:rFonts w:cs="Arial"/>
          <w:szCs w:val="24"/>
        </w:rPr>
      </w:pPr>
      <w:r w:rsidRPr="003D54DD">
        <w:rPr>
          <w:rFonts w:cs="Arial"/>
          <w:szCs w:val="24"/>
        </w:rPr>
        <w:t>El objetivo principal de las empresas participadas es la consolidación del empleo para personas con discapacidad y el mantenimiento de resultados positivos.</w:t>
      </w:r>
    </w:p>
    <w:p w:rsidR="00364013" w:rsidRPr="003D54DD" w:rsidRDefault="00364013" w:rsidP="00364013">
      <w:pPr>
        <w:ind w:left="360"/>
        <w:jc w:val="both"/>
        <w:rPr>
          <w:rFonts w:cs="Arial"/>
          <w:szCs w:val="24"/>
        </w:rPr>
      </w:pPr>
    </w:p>
    <w:p w:rsidR="00364013" w:rsidRPr="003D54DD" w:rsidRDefault="00364013" w:rsidP="00364013">
      <w:pPr>
        <w:tabs>
          <w:tab w:val="left" w:pos="1470"/>
        </w:tabs>
        <w:jc w:val="both"/>
        <w:rPr>
          <w:rFonts w:cs="Arial"/>
          <w:szCs w:val="24"/>
        </w:rPr>
      </w:pPr>
      <w:r w:rsidRPr="002814BA">
        <w:rPr>
          <w:rFonts w:cs="Arial"/>
          <w:szCs w:val="24"/>
        </w:rPr>
        <w:t xml:space="preserve">Para el próximo </w:t>
      </w:r>
      <w:r w:rsidR="002814BA">
        <w:rPr>
          <w:rFonts w:cs="Arial"/>
          <w:szCs w:val="24"/>
        </w:rPr>
        <w:t>s</w:t>
      </w:r>
      <w:r w:rsidR="002814BA" w:rsidRPr="002814BA">
        <w:rPr>
          <w:rFonts w:cs="Arial"/>
          <w:szCs w:val="24"/>
        </w:rPr>
        <w:t>e ha tomado como hipótesis que se desarrollará alguna acción para mantener al Grupo vinculado con Siro Venta de Baños, cuyo empleo para personas con discapacidad en 2015 se estima en 321 trabajadores.</w:t>
      </w:r>
      <w:r w:rsidRPr="003D54DD">
        <w:rPr>
          <w:rFonts w:cs="Arial"/>
          <w:szCs w:val="24"/>
          <w:highlight w:val="yellow"/>
        </w:rPr>
        <w:t xml:space="preserve"> </w:t>
      </w:r>
    </w:p>
    <w:p w:rsidR="00364013" w:rsidRPr="003D54DD" w:rsidRDefault="00364013" w:rsidP="00364013">
      <w:pPr>
        <w:jc w:val="both"/>
        <w:rPr>
          <w:rFonts w:cs="Arial"/>
          <w:szCs w:val="24"/>
        </w:rPr>
      </w:pPr>
    </w:p>
    <w:p w:rsidR="00221C41" w:rsidRPr="003D54DD" w:rsidRDefault="00364013" w:rsidP="008F7859">
      <w:pPr>
        <w:pStyle w:val="Body1"/>
        <w:spacing w:after="0" w:line="240" w:lineRule="auto"/>
        <w:jc w:val="both"/>
        <w:outlineLvl w:val="9"/>
        <w:rPr>
          <w:rFonts w:ascii="Arial" w:hAnsi="Arial" w:cs="Arial"/>
          <w:color w:val="auto"/>
          <w:sz w:val="24"/>
          <w:szCs w:val="24"/>
          <w:lang w:val="es-ES"/>
        </w:rPr>
      </w:pPr>
      <w:r w:rsidRPr="003D54DD">
        <w:rPr>
          <w:rFonts w:ascii="Arial" w:hAnsi="Arial" w:cs="Arial"/>
          <w:color w:val="auto"/>
          <w:sz w:val="24"/>
          <w:szCs w:val="24"/>
        </w:rPr>
        <w:t>No se ha previsto ninguna inversión empresarial adicional. No obstante, las propuestas de participaciones minoritarias en empresas que surjan serán valoradas bajo el principio de prudencia, atendiendo a criterios de rentabilidad social principalmente, valorando la proximidad con el movimiento asociativo, y teniendo en cuenta las cautelas y limitaciones de inversiones y restricciones financieras que impone la situación económica actual.</w:t>
      </w:r>
    </w:p>
    <w:p w:rsidR="00DB2344" w:rsidRPr="003D54DD" w:rsidRDefault="00DB2344" w:rsidP="00221C41">
      <w:pPr>
        <w:jc w:val="both"/>
        <w:rPr>
          <w:rFonts w:cs="Arial"/>
          <w:szCs w:val="24"/>
        </w:rPr>
      </w:pPr>
    </w:p>
    <w:p w:rsidR="00784AB2" w:rsidRPr="003D54DD" w:rsidRDefault="00784AB2" w:rsidP="00221C41">
      <w:pPr>
        <w:jc w:val="both"/>
        <w:rPr>
          <w:rFonts w:cs="Arial"/>
          <w:szCs w:val="24"/>
        </w:rPr>
      </w:pPr>
    </w:p>
    <w:p w:rsidR="00221C41" w:rsidRPr="00BF7448" w:rsidRDefault="00364013" w:rsidP="00865401">
      <w:pPr>
        <w:pStyle w:val="Ttulo2"/>
        <w:numPr>
          <w:ilvl w:val="1"/>
          <w:numId w:val="3"/>
        </w:numPr>
        <w:tabs>
          <w:tab w:val="clear" w:pos="1080"/>
          <w:tab w:val="num" w:pos="360"/>
        </w:tabs>
        <w:spacing w:before="0" w:after="0"/>
        <w:ind w:left="360"/>
        <w:rPr>
          <w:i w:val="0"/>
          <w:color w:val="016FB8"/>
          <w:sz w:val="24"/>
          <w:szCs w:val="24"/>
          <w:u w:val="single"/>
        </w:rPr>
      </w:pPr>
      <w:bookmarkStart w:id="23" w:name="_Toc403984309"/>
      <w:r w:rsidRPr="00BF7448">
        <w:rPr>
          <w:i w:val="0"/>
          <w:color w:val="016FB8"/>
          <w:sz w:val="24"/>
          <w:szCs w:val="24"/>
          <w:u w:val="single"/>
        </w:rPr>
        <w:t>Colaboraciones con organizaciones</w:t>
      </w:r>
      <w:bookmarkEnd w:id="23"/>
    </w:p>
    <w:p w:rsidR="00221C41" w:rsidRPr="003D54DD" w:rsidRDefault="00221C41" w:rsidP="00221C41">
      <w:pPr>
        <w:pStyle w:val="Body1"/>
        <w:spacing w:after="0" w:line="240" w:lineRule="auto"/>
        <w:ind w:left="284"/>
        <w:jc w:val="both"/>
        <w:rPr>
          <w:rFonts w:ascii="Arial" w:hAnsi="Arial" w:cs="Arial"/>
          <w:b/>
          <w:color w:val="auto"/>
          <w:sz w:val="24"/>
          <w:szCs w:val="24"/>
        </w:rPr>
      </w:pPr>
    </w:p>
    <w:p w:rsidR="00373123" w:rsidRPr="003D54DD" w:rsidRDefault="00373123" w:rsidP="00373123">
      <w:pPr>
        <w:jc w:val="both"/>
        <w:rPr>
          <w:rFonts w:cs="Arial"/>
          <w:szCs w:val="24"/>
        </w:rPr>
      </w:pPr>
      <w:r w:rsidRPr="003D54DD">
        <w:rPr>
          <w:rFonts w:cs="Arial"/>
          <w:szCs w:val="24"/>
        </w:rPr>
        <w:t>El Grupo Fundosa, además de continuar perteneciendo a las patronales de sus sectores de interés, continuará potenciando las organizaciones y plataformas representativas de los intereses de los Centros Especiales de Empleo, promoviendo mejoras en el marco legal que hoy los regula, así como estableciendo estrategias que consoliden los beneficios alcanzados.</w:t>
      </w:r>
    </w:p>
    <w:p w:rsidR="00364013" w:rsidRPr="003D54DD" w:rsidRDefault="00364013" w:rsidP="00364013">
      <w:pPr>
        <w:ind w:left="284"/>
        <w:jc w:val="both"/>
        <w:rPr>
          <w:rFonts w:cs="Arial"/>
          <w:szCs w:val="24"/>
        </w:rPr>
      </w:pPr>
    </w:p>
    <w:p w:rsidR="00364013" w:rsidRPr="003D54DD" w:rsidRDefault="00364013" w:rsidP="00364013">
      <w:pPr>
        <w:jc w:val="both"/>
        <w:rPr>
          <w:rFonts w:cs="Arial"/>
          <w:szCs w:val="24"/>
        </w:rPr>
      </w:pPr>
      <w:r w:rsidRPr="003D54DD">
        <w:rPr>
          <w:rFonts w:cs="Arial"/>
          <w:szCs w:val="24"/>
        </w:rPr>
        <w:t xml:space="preserve">En este sentido, desde el Grupo se </w:t>
      </w:r>
      <w:r w:rsidR="00373123" w:rsidRPr="003D54DD">
        <w:rPr>
          <w:rFonts w:cs="Arial"/>
          <w:szCs w:val="24"/>
        </w:rPr>
        <w:t>seguirá</w:t>
      </w:r>
      <w:r w:rsidRPr="003D54DD">
        <w:rPr>
          <w:rFonts w:cs="Arial"/>
          <w:szCs w:val="24"/>
        </w:rPr>
        <w:t xml:space="preserve"> </w:t>
      </w:r>
      <w:r w:rsidR="00373123" w:rsidRPr="003D54DD">
        <w:rPr>
          <w:rFonts w:cs="Arial"/>
          <w:szCs w:val="24"/>
        </w:rPr>
        <w:t>impulsando</w:t>
      </w:r>
      <w:r w:rsidRPr="003D54DD">
        <w:rPr>
          <w:rFonts w:cs="Arial"/>
          <w:szCs w:val="24"/>
        </w:rPr>
        <w:t xml:space="preserve"> la actividad de FEACEM (Federación Empresarial Española de Asociaciones de Centros Especiales de Empleo), cuy</w:t>
      </w:r>
      <w:r w:rsidR="00D94C46" w:rsidRPr="003D54DD">
        <w:rPr>
          <w:rFonts w:cs="Arial"/>
          <w:szCs w:val="24"/>
        </w:rPr>
        <w:t>a</w:t>
      </w:r>
      <w:r w:rsidRPr="003D54DD">
        <w:rPr>
          <w:rFonts w:cs="Arial"/>
          <w:szCs w:val="24"/>
        </w:rPr>
        <w:t xml:space="preserve"> finalidad consiste en representar y defender los intereses de las asociaciones empresariales que la integran frente a las administraciones públicas, tanto estatal como autonómicas, con el objetivo de mejorar el sector de los Centros Especiales de Empleo como fórmula del empleo protegido.</w:t>
      </w:r>
    </w:p>
    <w:p w:rsidR="00364013" w:rsidRPr="003D54DD" w:rsidRDefault="00364013" w:rsidP="00364013">
      <w:pPr>
        <w:ind w:left="284"/>
        <w:jc w:val="both"/>
        <w:rPr>
          <w:rFonts w:cs="Arial"/>
          <w:szCs w:val="24"/>
        </w:rPr>
      </w:pPr>
    </w:p>
    <w:p w:rsidR="00364013" w:rsidRPr="003D54DD" w:rsidRDefault="00364013" w:rsidP="00364013">
      <w:pPr>
        <w:shd w:val="clear" w:color="auto" w:fill="FDFDFD"/>
        <w:jc w:val="both"/>
        <w:rPr>
          <w:rFonts w:cs="Arial"/>
          <w:szCs w:val="24"/>
        </w:rPr>
      </w:pPr>
      <w:r w:rsidRPr="003D54DD">
        <w:rPr>
          <w:rFonts w:cs="Arial"/>
          <w:szCs w:val="24"/>
        </w:rPr>
        <w:t xml:space="preserve">Asimismo, se continuará </w:t>
      </w:r>
      <w:r w:rsidR="00A621A4" w:rsidRPr="003D54DD">
        <w:rPr>
          <w:rFonts w:cs="Arial"/>
          <w:szCs w:val="24"/>
        </w:rPr>
        <w:t>favoreciendo la actividad de</w:t>
      </w:r>
      <w:r w:rsidRPr="003D54DD">
        <w:rPr>
          <w:rFonts w:cs="Arial"/>
          <w:szCs w:val="24"/>
        </w:rPr>
        <w:t xml:space="preserve"> AECEMFO (Asociación Empresarial de Centros Especiales de Empleo de Personas con Discapacidad de Fundación ONCE) y las adhesiones de otros Centros Especiales de Empleo. El objetivo principal de esta asociación consiste en promover la excelencia y profesionalidad de los Centros Especiales de Empleo, a través de la promoción de certificados de calidad y de la profesionalización de sus directivos, así como ser lugar de intercambio de buenas prácticas y transferencia de información. AECEMFO continuará </w:t>
      </w:r>
      <w:r w:rsidR="00A621A4" w:rsidRPr="003D54DD">
        <w:rPr>
          <w:rFonts w:cs="Arial"/>
          <w:szCs w:val="24"/>
        </w:rPr>
        <w:t>impulsando</w:t>
      </w:r>
      <w:r w:rsidRPr="003D54DD">
        <w:rPr>
          <w:rFonts w:cs="Arial"/>
          <w:szCs w:val="24"/>
        </w:rPr>
        <w:t xml:space="preserve"> la certificación específica para Centros Especiales de Empleo </w:t>
      </w:r>
      <w:r w:rsidRPr="003D54DD">
        <w:rPr>
          <w:rFonts w:cs="Arial"/>
          <w:szCs w:val="24"/>
        </w:rPr>
        <w:lastRenderedPageBreak/>
        <w:t>(Especificación de AENOR para la Gestión Ética y profesionalizada de los Centros Especiales de Empleo), que fue aprobada en 2011 y que ya está implantada en varias empresas del Grupo.</w:t>
      </w:r>
    </w:p>
    <w:p w:rsidR="00DB2344" w:rsidRPr="003D54DD" w:rsidRDefault="00DB2344" w:rsidP="00221C41">
      <w:pPr>
        <w:pStyle w:val="Body1"/>
        <w:spacing w:after="0" w:line="240" w:lineRule="auto"/>
        <w:ind w:left="426"/>
        <w:jc w:val="both"/>
        <w:rPr>
          <w:rFonts w:ascii="Arial" w:hAnsi="Arial" w:cs="Arial"/>
          <w:color w:val="auto"/>
          <w:sz w:val="24"/>
          <w:szCs w:val="24"/>
        </w:rPr>
      </w:pPr>
    </w:p>
    <w:p w:rsidR="00784AB2" w:rsidRPr="003D54DD" w:rsidRDefault="00784AB2" w:rsidP="00221C41">
      <w:pPr>
        <w:pStyle w:val="Body1"/>
        <w:spacing w:after="0" w:line="240" w:lineRule="auto"/>
        <w:ind w:left="426"/>
        <w:jc w:val="both"/>
        <w:rPr>
          <w:rFonts w:ascii="Arial" w:hAnsi="Arial" w:cs="Arial"/>
          <w:color w:val="auto"/>
          <w:sz w:val="24"/>
          <w:szCs w:val="24"/>
        </w:rPr>
      </w:pPr>
    </w:p>
    <w:p w:rsidR="00221C41" w:rsidRPr="00BF7448" w:rsidRDefault="00221C41" w:rsidP="00865401">
      <w:pPr>
        <w:pStyle w:val="Ttulo2"/>
        <w:numPr>
          <w:ilvl w:val="1"/>
          <w:numId w:val="3"/>
        </w:numPr>
        <w:tabs>
          <w:tab w:val="clear" w:pos="1080"/>
          <w:tab w:val="num" w:pos="360"/>
        </w:tabs>
        <w:spacing w:before="0" w:after="0"/>
        <w:ind w:left="360"/>
        <w:rPr>
          <w:i w:val="0"/>
          <w:color w:val="016FB8"/>
          <w:sz w:val="24"/>
          <w:szCs w:val="24"/>
          <w:u w:val="single"/>
        </w:rPr>
      </w:pPr>
      <w:bookmarkStart w:id="24" w:name="_Toc403984310"/>
      <w:r w:rsidRPr="00BF7448">
        <w:rPr>
          <w:i w:val="0"/>
          <w:color w:val="016FB8"/>
          <w:sz w:val="24"/>
          <w:szCs w:val="24"/>
          <w:u w:val="single"/>
        </w:rPr>
        <w:t>Desinversión en negocios no rentables en el largo plazo</w:t>
      </w:r>
      <w:bookmarkEnd w:id="24"/>
    </w:p>
    <w:p w:rsidR="00221C41" w:rsidRPr="003D54DD" w:rsidRDefault="00221C41" w:rsidP="00221C41">
      <w:pPr>
        <w:pStyle w:val="Body1"/>
        <w:spacing w:after="0" w:line="240" w:lineRule="auto"/>
        <w:ind w:left="284"/>
        <w:jc w:val="both"/>
        <w:rPr>
          <w:rFonts w:ascii="Arial" w:hAnsi="Arial" w:cs="Arial"/>
          <w:b/>
          <w:color w:val="auto"/>
          <w:sz w:val="24"/>
          <w:szCs w:val="24"/>
        </w:rPr>
      </w:pPr>
    </w:p>
    <w:p w:rsidR="00221C41" w:rsidRPr="003D54DD" w:rsidRDefault="00221C41" w:rsidP="009270DF">
      <w:pPr>
        <w:jc w:val="both"/>
      </w:pPr>
      <w:r w:rsidRPr="003D54DD">
        <w:t xml:space="preserve">El objetivo de perseguir el incremento patrimonial nos llevará a establecer planes de contingencia para aquellos negocios cuyos resultados puedan suponer un riesgo patrimonial presente o futuro. Si a pesar de la ejecución de dichos planes de contingencia, la permanencia en dichos negocios supone destrucción de valor, se considerará la desinversión o saneamiento de los mismos. </w:t>
      </w:r>
    </w:p>
    <w:p w:rsidR="00221C41" w:rsidRPr="003D54DD" w:rsidRDefault="00221C41" w:rsidP="00221C41">
      <w:pPr>
        <w:pStyle w:val="Body1"/>
        <w:spacing w:after="0" w:line="240" w:lineRule="auto"/>
        <w:jc w:val="both"/>
        <w:rPr>
          <w:rFonts w:ascii="Arial" w:hAnsi="Arial" w:cs="Arial"/>
          <w:color w:val="auto"/>
          <w:sz w:val="24"/>
          <w:szCs w:val="24"/>
        </w:rPr>
      </w:pPr>
    </w:p>
    <w:p w:rsidR="00221C41" w:rsidRPr="003D54DD" w:rsidRDefault="00D94C46" w:rsidP="009270DF">
      <w:pPr>
        <w:jc w:val="both"/>
      </w:pPr>
      <w:r w:rsidRPr="003D54DD">
        <w:t>El Grupo</w:t>
      </w:r>
      <w:r w:rsidR="00221C41" w:rsidRPr="003D54DD">
        <w:t xml:space="preserve">, centrándose ante todo en la sostenibilidad de sus negocios y en el mantenimiento del empleo para </w:t>
      </w:r>
      <w:r w:rsidR="003C6898" w:rsidRPr="003D54DD">
        <w:t xml:space="preserve">trabajadores </w:t>
      </w:r>
      <w:r w:rsidR="00221C41" w:rsidRPr="003D54DD">
        <w:t xml:space="preserve">discapacitados, continuará en la búsqueda de posibles inversores para negocios no rentables, </w:t>
      </w:r>
      <w:r w:rsidR="000A0C8C" w:rsidRPr="003D54DD">
        <w:t>priorizando</w:t>
      </w:r>
      <w:r w:rsidR="00221C41" w:rsidRPr="003D54DD">
        <w:t xml:space="preserve"> la transición </w:t>
      </w:r>
      <w:r w:rsidR="003C6898" w:rsidRPr="003D54DD">
        <w:t>del empleo al mercado ordinario</w:t>
      </w:r>
      <w:r w:rsidR="00221C41" w:rsidRPr="003D54DD">
        <w:t xml:space="preserve">. </w:t>
      </w:r>
    </w:p>
    <w:p w:rsidR="00221C41" w:rsidRPr="003D54DD" w:rsidRDefault="00221C41" w:rsidP="00221C41">
      <w:pPr>
        <w:pStyle w:val="Body1"/>
        <w:spacing w:after="0" w:line="240" w:lineRule="auto"/>
        <w:ind w:left="284"/>
        <w:jc w:val="both"/>
        <w:rPr>
          <w:rFonts w:ascii="Arial" w:eastAsia="Times New Roman" w:hAnsi="Arial"/>
          <w:color w:val="auto"/>
          <w:sz w:val="24"/>
          <w:lang w:eastAsia="es-ES"/>
        </w:rPr>
      </w:pPr>
    </w:p>
    <w:p w:rsidR="00D80BD4" w:rsidRPr="003D54DD" w:rsidRDefault="00D80BD4" w:rsidP="00D80BD4">
      <w:pPr>
        <w:tabs>
          <w:tab w:val="left" w:pos="1470"/>
        </w:tabs>
        <w:jc w:val="both"/>
      </w:pPr>
      <w:r w:rsidRPr="003D54DD">
        <w:t>Para aquellas empresas en pérdidas con un alto contenido social, podrán establecerse contratos-programa con la ONCE o con Fundación ONCE, que permitan el apoyo económico para estas labores sociales.</w:t>
      </w:r>
    </w:p>
    <w:p w:rsidR="00D80BD4" w:rsidRPr="003D54DD" w:rsidRDefault="00D80BD4" w:rsidP="00221C41">
      <w:pPr>
        <w:pStyle w:val="Body1"/>
        <w:spacing w:after="0" w:line="240" w:lineRule="auto"/>
        <w:ind w:left="284"/>
        <w:jc w:val="both"/>
        <w:rPr>
          <w:rFonts w:ascii="Arial" w:eastAsia="Times New Roman" w:hAnsi="Arial"/>
          <w:color w:val="auto"/>
          <w:sz w:val="24"/>
          <w:lang w:eastAsia="es-ES"/>
        </w:rPr>
      </w:pPr>
    </w:p>
    <w:p w:rsidR="00A4398D" w:rsidRPr="003D54DD" w:rsidRDefault="009270DF" w:rsidP="009270DF">
      <w:pPr>
        <w:jc w:val="both"/>
        <w:rPr>
          <w:rFonts w:cs="Arial"/>
        </w:rPr>
      </w:pPr>
      <w:r w:rsidRPr="003D54DD">
        <w:rPr>
          <w:rFonts w:cs="Arial"/>
        </w:rPr>
        <w:t xml:space="preserve">   </w:t>
      </w:r>
    </w:p>
    <w:p w:rsidR="009270DF" w:rsidRPr="003D54DD" w:rsidRDefault="009270DF" w:rsidP="009270DF">
      <w:pPr>
        <w:jc w:val="both"/>
        <w:rPr>
          <w:rFonts w:cs="Arial"/>
        </w:rPr>
      </w:pPr>
      <w:r w:rsidRPr="00DB076F">
        <w:rPr>
          <w:rFonts w:cs="Arial"/>
        </w:rPr>
        <w:t>En el anexo II</w:t>
      </w:r>
      <w:r w:rsidR="00C77CA0" w:rsidRPr="00DB076F">
        <w:rPr>
          <w:rFonts w:cs="Arial"/>
        </w:rPr>
        <w:t>I</w:t>
      </w:r>
      <w:r w:rsidRPr="00DB076F">
        <w:rPr>
          <w:rFonts w:cs="Arial"/>
        </w:rPr>
        <w:t xml:space="preserve"> se incluyen</w:t>
      </w:r>
      <w:r w:rsidRPr="003D54DD">
        <w:rPr>
          <w:rFonts w:cs="Arial"/>
        </w:rPr>
        <w:t xml:space="preserve"> las principales líneas estratégicas de las sociedades filiales del Grupo. </w:t>
      </w:r>
    </w:p>
    <w:p w:rsidR="00221C41" w:rsidRPr="003D54DD" w:rsidRDefault="00221C41" w:rsidP="00C1411B">
      <w:pPr>
        <w:ind w:left="357"/>
        <w:jc w:val="both"/>
        <w:rPr>
          <w:rFonts w:cs="Arial"/>
        </w:rPr>
      </w:pPr>
    </w:p>
    <w:p w:rsidR="00EC3DE5" w:rsidRPr="008C52E6" w:rsidRDefault="00EC3DE5" w:rsidP="00C1411B">
      <w:pPr>
        <w:ind w:left="357"/>
        <w:jc w:val="both"/>
        <w:rPr>
          <w:rFonts w:cs="Arial"/>
        </w:rPr>
      </w:pPr>
    </w:p>
    <w:p w:rsidR="00E8581E" w:rsidRPr="00BF7448" w:rsidRDefault="00784AB2" w:rsidP="00865401">
      <w:pPr>
        <w:pStyle w:val="Ttulo1"/>
        <w:numPr>
          <w:ilvl w:val="0"/>
          <w:numId w:val="3"/>
        </w:numPr>
        <w:spacing w:before="0" w:after="0"/>
        <w:rPr>
          <w:color w:val="016FB8"/>
          <w:sz w:val="28"/>
          <w:szCs w:val="28"/>
          <w:u w:val="single"/>
        </w:rPr>
      </w:pPr>
      <w:r>
        <w:rPr>
          <w:color w:val="005C54"/>
          <w:sz w:val="28"/>
          <w:szCs w:val="28"/>
          <w:u w:val="single"/>
        </w:rPr>
        <w:br w:type="page"/>
      </w:r>
      <w:bookmarkStart w:id="25" w:name="_Toc403984311"/>
      <w:r w:rsidR="00E67EEB" w:rsidRPr="00BF7448">
        <w:rPr>
          <w:color w:val="016FB8"/>
          <w:sz w:val="28"/>
          <w:szCs w:val="28"/>
          <w:u w:val="single"/>
        </w:rPr>
        <w:lastRenderedPageBreak/>
        <w:t xml:space="preserve">ESTIMADO DE CIERRE Y </w:t>
      </w:r>
      <w:r w:rsidR="00E8581E" w:rsidRPr="00BF7448">
        <w:rPr>
          <w:color w:val="016FB8"/>
          <w:sz w:val="28"/>
          <w:szCs w:val="28"/>
          <w:u w:val="single"/>
        </w:rPr>
        <w:t>PLAN DE ACTUACIÓN DEL GRUPO FUNDOSA</w:t>
      </w:r>
      <w:r w:rsidR="00E67EEB" w:rsidRPr="00BF7448">
        <w:rPr>
          <w:color w:val="016FB8"/>
          <w:sz w:val="28"/>
          <w:szCs w:val="28"/>
          <w:u w:val="single"/>
        </w:rPr>
        <w:t xml:space="preserve"> PARA EL EJERCICIO 20</w:t>
      </w:r>
      <w:bookmarkEnd w:id="12"/>
      <w:r w:rsidR="00762112" w:rsidRPr="00BF7448">
        <w:rPr>
          <w:color w:val="016FB8"/>
          <w:sz w:val="28"/>
          <w:szCs w:val="28"/>
          <w:u w:val="single"/>
        </w:rPr>
        <w:t>1</w:t>
      </w:r>
      <w:r w:rsidR="00BC5817" w:rsidRPr="00BF7448">
        <w:rPr>
          <w:color w:val="016FB8"/>
          <w:sz w:val="28"/>
          <w:szCs w:val="28"/>
          <w:u w:val="single"/>
        </w:rPr>
        <w:t>5</w:t>
      </w:r>
      <w:bookmarkEnd w:id="25"/>
    </w:p>
    <w:p w:rsidR="003A2029" w:rsidRPr="00280D80" w:rsidRDefault="003A2029" w:rsidP="00280D80">
      <w:bookmarkStart w:id="26" w:name="_Toc213647535"/>
    </w:p>
    <w:p w:rsidR="00E76F8A" w:rsidRPr="00BF7448" w:rsidRDefault="00E76F8A" w:rsidP="00750EB7">
      <w:pPr>
        <w:pStyle w:val="Ttulo2"/>
        <w:numPr>
          <w:ilvl w:val="1"/>
          <w:numId w:val="3"/>
        </w:numPr>
        <w:tabs>
          <w:tab w:val="clear" w:pos="1080"/>
          <w:tab w:val="num" w:pos="360"/>
        </w:tabs>
        <w:spacing w:before="0" w:after="0"/>
        <w:ind w:left="357" w:hanging="357"/>
        <w:rPr>
          <w:i w:val="0"/>
          <w:color w:val="016FB8"/>
          <w:sz w:val="24"/>
          <w:szCs w:val="24"/>
          <w:u w:val="single"/>
        </w:rPr>
      </w:pPr>
      <w:bookmarkStart w:id="27" w:name="_Toc403984312"/>
      <w:r w:rsidRPr="00BF7448">
        <w:rPr>
          <w:i w:val="0"/>
          <w:color w:val="016FB8"/>
          <w:sz w:val="24"/>
          <w:szCs w:val="24"/>
          <w:u w:val="single"/>
        </w:rPr>
        <w:t>Coyuntura económica actual</w:t>
      </w:r>
      <w:bookmarkEnd w:id="26"/>
      <w:bookmarkEnd w:id="27"/>
    </w:p>
    <w:p w:rsidR="008F7859" w:rsidRPr="003D54DD" w:rsidRDefault="008F7859" w:rsidP="00A65C5F">
      <w:pPr>
        <w:pStyle w:val="Ttulo2"/>
        <w:spacing w:before="0" w:after="0"/>
        <w:ind w:left="360"/>
        <w:jc w:val="both"/>
        <w:rPr>
          <w:i w:val="0"/>
          <w:sz w:val="24"/>
          <w:szCs w:val="24"/>
          <w:u w:val="single"/>
        </w:rPr>
      </w:pPr>
      <w:bookmarkStart w:id="28" w:name="_Toc213647536"/>
    </w:p>
    <w:p w:rsidR="00A65C5F" w:rsidRPr="003D54DD" w:rsidRDefault="00A65C5F" w:rsidP="00A65C5F">
      <w:pPr>
        <w:jc w:val="both"/>
        <w:rPr>
          <w:rFonts w:cs="Arial"/>
          <w:szCs w:val="24"/>
        </w:rPr>
      </w:pPr>
      <w:r w:rsidRPr="003D54DD">
        <w:rPr>
          <w:rFonts w:cs="Arial"/>
          <w:szCs w:val="24"/>
        </w:rPr>
        <w:t>Las previsiones económicas de España para los próximos meses se basan en los siguientes aspectos:</w:t>
      </w:r>
    </w:p>
    <w:p w:rsidR="00A65C5F" w:rsidRPr="003D54DD" w:rsidRDefault="00A65C5F" w:rsidP="00A65C5F">
      <w:pPr>
        <w:jc w:val="both"/>
        <w:rPr>
          <w:rFonts w:cs="Arial"/>
          <w:szCs w:val="24"/>
          <w:u w:val="single"/>
        </w:rPr>
      </w:pPr>
    </w:p>
    <w:p w:rsidR="00A65C5F" w:rsidRPr="003D54DD" w:rsidRDefault="00A65C5F" w:rsidP="00A65C5F">
      <w:pPr>
        <w:jc w:val="both"/>
        <w:rPr>
          <w:rFonts w:cs="Arial"/>
          <w:szCs w:val="24"/>
          <w:u w:val="single"/>
        </w:rPr>
      </w:pPr>
      <w:r w:rsidRPr="003D54DD">
        <w:rPr>
          <w:rFonts w:cs="Arial"/>
          <w:szCs w:val="24"/>
          <w:u w:val="single"/>
        </w:rPr>
        <w:t>En sentido positivo:</w:t>
      </w:r>
    </w:p>
    <w:p w:rsidR="00A65C5F" w:rsidRPr="003D54DD" w:rsidRDefault="00A65C5F" w:rsidP="00A65C5F">
      <w:pPr>
        <w:pStyle w:val="Prrafodelista"/>
        <w:ind w:left="360"/>
        <w:contextualSpacing/>
        <w:jc w:val="both"/>
        <w:rPr>
          <w:rFonts w:eastAsia="Calibri" w:cs="Arial"/>
          <w:szCs w:val="24"/>
          <w:lang w:eastAsia="en-US"/>
        </w:rPr>
      </w:pP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cs="Arial"/>
          <w:bCs/>
          <w:szCs w:val="24"/>
        </w:rPr>
        <w:t>Estabilización</w:t>
      </w:r>
      <w:r w:rsidRPr="003D54DD">
        <w:rPr>
          <w:rFonts w:eastAsia="Calibri" w:cs="Arial"/>
          <w:szCs w:val="24"/>
          <w:lang w:eastAsia="en-US"/>
        </w:rPr>
        <w:t xml:space="preserve"> de la economía: En el segundo trimestre del ejercicio 2014 la economía española crece 3 veces por encima de la media europea. Sin embargo los expertos esperan que el tercer trimestre sea menos expansivo. </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cs="Arial"/>
          <w:bCs/>
          <w:szCs w:val="24"/>
        </w:rPr>
        <w:t>Fuertes</w:t>
      </w:r>
      <w:r w:rsidRPr="003D54DD">
        <w:rPr>
          <w:rFonts w:eastAsia="Calibri" w:cs="Arial"/>
          <w:szCs w:val="24"/>
          <w:lang w:eastAsia="en-US"/>
        </w:rPr>
        <w:t xml:space="preserve"> reformas, en particular en el sector privado. </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cs="Arial"/>
          <w:bCs/>
          <w:szCs w:val="24"/>
        </w:rPr>
        <w:t>Creación</w:t>
      </w:r>
      <w:r w:rsidRPr="003D54DD">
        <w:rPr>
          <w:rFonts w:eastAsia="Calibri" w:cs="Arial"/>
          <w:szCs w:val="24"/>
          <w:lang w:eastAsia="en-US"/>
        </w:rPr>
        <w:t xml:space="preserve"> neta de empleo desde el comienzo de la crisis. </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cs="Arial"/>
          <w:bCs/>
          <w:szCs w:val="24"/>
        </w:rPr>
        <w:t>Las</w:t>
      </w:r>
      <w:r w:rsidRPr="003D54DD">
        <w:rPr>
          <w:rFonts w:eastAsia="Calibri" w:cs="Arial"/>
          <w:szCs w:val="24"/>
          <w:lang w:eastAsia="en-US"/>
        </w:rPr>
        <w:t xml:space="preserve"> reformas del sistema bancario se encuentran prácticamente finalizadas.</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eastAsia="Calibri" w:cs="Arial"/>
          <w:szCs w:val="24"/>
          <w:lang w:eastAsia="en-US"/>
        </w:rPr>
        <w:t xml:space="preserve">El </w:t>
      </w:r>
      <w:r w:rsidRPr="003D54DD">
        <w:rPr>
          <w:rFonts w:cs="Arial"/>
          <w:bCs/>
          <w:szCs w:val="24"/>
        </w:rPr>
        <w:t>coste</w:t>
      </w:r>
      <w:r w:rsidRPr="003D54DD">
        <w:rPr>
          <w:rFonts w:eastAsia="Calibri" w:cs="Arial"/>
          <w:szCs w:val="24"/>
          <w:lang w:eastAsia="en-US"/>
        </w:rPr>
        <w:t xml:space="preserve"> de financiación se encuentra en niveles mínimos históricos. </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eastAsia="Calibri" w:cs="Arial"/>
          <w:szCs w:val="24"/>
          <w:lang w:eastAsia="en-US"/>
        </w:rPr>
        <w:t>Buen ritmo del turismo, industria, exportaciones y mercado inmobiliario.</w:t>
      </w:r>
    </w:p>
    <w:p w:rsidR="00A65C5F" w:rsidRPr="003D54DD" w:rsidRDefault="00A65C5F" w:rsidP="00A65C5F">
      <w:pPr>
        <w:jc w:val="both"/>
        <w:rPr>
          <w:rFonts w:cs="Arial"/>
          <w:szCs w:val="24"/>
          <w:u w:val="single"/>
        </w:rPr>
      </w:pPr>
    </w:p>
    <w:p w:rsidR="00A65C5F" w:rsidRPr="003D54DD" w:rsidRDefault="00A65C5F" w:rsidP="00A65C5F">
      <w:pPr>
        <w:jc w:val="both"/>
        <w:rPr>
          <w:rFonts w:cs="Arial"/>
          <w:szCs w:val="24"/>
          <w:u w:val="single"/>
        </w:rPr>
      </w:pPr>
      <w:r w:rsidRPr="003D54DD">
        <w:rPr>
          <w:rFonts w:cs="Arial"/>
          <w:szCs w:val="24"/>
          <w:u w:val="single"/>
        </w:rPr>
        <w:t>En sentido negativo:</w:t>
      </w:r>
    </w:p>
    <w:p w:rsidR="00A65C5F" w:rsidRPr="003D54DD" w:rsidRDefault="00A65C5F" w:rsidP="00A65C5F">
      <w:pPr>
        <w:pStyle w:val="Prrafodelista"/>
        <w:ind w:left="360"/>
        <w:contextualSpacing/>
        <w:jc w:val="both"/>
        <w:rPr>
          <w:rFonts w:eastAsia="Calibri" w:cs="Arial"/>
          <w:szCs w:val="24"/>
          <w:lang w:eastAsia="en-US"/>
        </w:rPr>
      </w:pP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eastAsia="Calibri" w:cs="Arial"/>
          <w:szCs w:val="24"/>
          <w:lang w:eastAsia="en-US"/>
        </w:rPr>
        <w:t xml:space="preserve">El </w:t>
      </w:r>
      <w:r w:rsidRPr="003D54DD">
        <w:rPr>
          <w:rFonts w:cs="Arial"/>
          <w:bCs/>
          <w:szCs w:val="24"/>
        </w:rPr>
        <w:t>sector</w:t>
      </w:r>
      <w:r w:rsidRPr="003D54DD">
        <w:rPr>
          <w:rFonts w:eastAsia="Calibri" w:cs="Arial"/>
          <w:szCs w:val="24"/>
          <w:lang w:eastAsia="en-US"/>
        </w:rPr>
        <w:t xml:space="preserve"> público necesita una profunda reforma estructural. </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eastAsia="Calibri" w:cs="Arial"/>
          <w:szCs w:val="24"/>
          <w:lang w:eastAsia="en-US"/>
        </w:rPr>
        <w:t xml:space="preserve">Alta </w:t>
      </w:r>
      <w:r w:rsidRPr="003D54DD">
        <w:rPr>
          <w:rFonts w:cs="Arial"/>
          <w:bCs/>
          <w:szCs w:val="24"/>
        </w:rPr>
        <w:t>tasa</w:t>
      </w:r>
      <w:r w:rsidRPr="003D54DD">
        <w:rPr>
          <w:rFonts w:eastAsia="Calibri" w:cs="Arial"/>
          <w:szCs w:val="24"/>
          <w:lang w:eastAsia="en-US"/>
        </w:rPr>
        <w:t xml:space="preserve"> de desempleo.</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cs="Arial"/>
          <w:bCs/>
          <w:szCs w:val="24"/>
        </w:rPr>
        <w:t>Debilidad</w:t>
      </w:r>
      <w:r w:rsidRPr="003D54DD">
        <w:rPr>
          <w:rFonts w:eastAsia="Calibri" w:cs="Arial"/>
          <w:szCs w:val="24"/>
          <w:lang w:eastAsia="en-US"/>
        </w:rPr>
        <w:t xml:space="preserve"> del mercado de crédito especialmente para Pymes.</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cs="Arial"/>
          <w:bCs/>
          <w:szCs w:val="24"/>
        </w:rPr>
        <w:t>Inestabilidad</w:t>
      </w:r>
      <w:r w:rsidRPr="003D54DD">
        <w:rPr>
          <w:rFonts w:eastAsia="Calibri" w:cs="Arial"/>
          <w:szCs w:val="24"/>
          <w:lang w:eastAsia="en-US"/>
        </w:rPr>
        <w:t xml:space="preserve"> política y movimientos independentistas. Altos niveles de corrupción política. </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cs="Arial"/>
          <w:bCs/>
          <w:szCs w:val="24"/>
        </w:rPr>
        <w:t>Déficit</w:t>
      </w:r>
      <w:r w:rsidRPr="003D54DD">
        <w:rPr>
          <w:rFonts w:eastAsia="Calibri" w:cs="Arial"/>
          <w:szCs w:val="24"/>
          <w:lang w:eastAsia="en-US"/>
        </w:rPr>
        <w:t xml:space="preserve"> fiscal estructural (Organismos públicos y de la Seguridad Social).</w:t>
      </w:r>
    </w:p>
    <w:p w:rsidR="00A65C5F" w:rsidRPr="003D54DD" w:rsidRDefault="00A65C5F" w:rsidP="00670A7C">
      <w:pPr>
        <w:pStyle w:val="Prrafodelista"/>
        <w:numPr>
          <w:ilvl w:val="0"/>
          <w:numId w:val="17"/>
        </w:numPr>
        <w:contextualSpacing/>
        <w:jc w:val="both"/>
        <w:rPr>
          <w:rFonts w:eastAsia="Calibri" w:cs="Arial"/>
          <w:szCs w:val="24"/>
          <w:lang w:eastAsia="en-US"/>
        </w:rPr>
      </w:pPr>
      <w:r w:rsidRPr="003D54DD">
        <w:rPr>
          <w:rFonts w:cs="Arial"/>
          <w:bCs/>
          <w:szCs w:val="24"/>
        </w:rPr>
        <w:t>Emigración</w:t>
      </w:r>
      <w:r w:rsidRPr="003D54DD">
        <w:rPr>
          <w:rFonts w:eastAsia="Calibri" w:cs="Arial"/>
          <w:szCs w:val="24"/>
          <w:lang w:eastAsia="en-US"/>
        </w:rPr>
        <w:t xml:space="preserve"> de trabajadores cualificados (25 mil personas en 2008 frente a 52 mil en 2013). </w:t>
      </w:r>
    </w:p>
    <w:p w:rsidR="00A65C5F" w:rsidRPr="003D54DD" w:rsidRDefault="00A65C5F" w:rsidP="00A65C5F">
      <w:pPr>
        <w:jc w:val="both"/>
        <w:rPr>
          <w:rFonts w:cs="Arial"/>
          <w:szCs w:val="24"/>
        </w:rPr>
      </w:pPr>
    </w:p>
    <w:p w:rsidR="00A65C5F" w:rsidRPr="003D54DD" w:rsidRDefault="00A65C5F" w:rsidP="00A65C5F">
      <w:pPr>
        <w:jc w:val="both"/>
        <w:rPr>
          <w:rFonts w:cs="Arial"/>
          <w:szCs w:val="24"/>
        </w:rPr>
      </w:pPr>
      <w:r w:rsidRPr="003D54DD">
        <w:rPr>
          <w:rFonts w:cs="Arial"/>
          <w:szCs w:val="24"/>
        </w:rPr>
        <w:t>Se ha consolidado un clima más optimista en cuanto a las perspectivas para las economías desarrolladas. No obstante, la Comisión Europea ha recortado sus estimaciones de crecimiento del PIB y el BCE no ha introducido cambios en los tipos de interés, manteniendo sus programas de adquisición de activos y su posición bajista. Las estimaciones de crecimiento del PIB para la zona euro se rebajan al 0,8% interanual en 2014 y al 1,1% interanual en 2015.</w:t>
      </w:r>
    </w:p>
    <w:p w:rsidR="00A65C5F" w:rsidRPr="003D54DD" w:rsidRDefault="00A65C5F" w:rsidP="00A65C5F">
      <w:pPr>
        <w:jc w:val="both"/>
        <w:rPr>
          <w:rFonts w:cs="Arial"/>
          <w:szCs w:val="24"/>
        </w:rPr>
      </w:pPr>
    </w:p>
    <w:p w:rsidR="00A65C5F" w:rsidRPr="003D54DD" w:rsidRDefault="00A65C5F" w:rsidP="00A65C5F">
      <w:pPr>
        <w:jc w:val="both"/>
        <w:rPr>
          <w:rFonts w:cs="Arial"/>
          <w:szCs w:val="24"/>
        </w:rPr>
      </w:pPr>
      <w:r w:rsidRPr="003D54DD">
        <w:rPr>
          <w:rFonts w:cs="Arial"/>
          <w:szCs w:val="24"/>
        </w:rPr>
        <w:t>En otras palabras, la Comisión Europea prevé una aceleración moderada en los próximos años gracias a las reformas estructurales, la recuperación del mercado laboral y las medidas de apoyo y condiciones de financiación favorables, pero todavía ve riesgos – crecientes– sesgados a la baja: mayor tensión con Rusia, la región de Oriente Medio y África del Norte (MENA), las fuertes correcciones en los mercados financieros debido a la normalización de la política monetaria en EEUU, mayor aversión al riesgo a escala mundial, el ritmo de introducción de las reformas en la Unión Europea, etc.</w:t>
      </w:r>
    </w:p>
    <w:p w:rsidR="00A65C5F" w:rsidRPr="003D54DD" w:rsidRDefault="00A65C5F" w:rsidP="00A65C5F">
      <w:pPr>
        <w:jc w:val="both"/>
        <w:rPr>
          <w:rFonts w:cs="Arial"/>
          <w:szCs w:val="24"/>
        </w:rPr>
      </w:pPr>
    </w:p>
    <w:p w:rsidR="00A65C5F" w:rsidRPr="003D54DD" w:rsidRDefault="00A65C5F" w:rsidP="00A65C5F">
      <w:pPr>
        <w:jc w:val="both"/>
        <w:rPr>
          <w:rFonts w:cs="Arial"/>
          <w:szCs w:val="24"/>
        </w:rPr>
      </w:pPr>
      <w:r w:rsidRPr="003D54DD">
        <w:rPr>
          <w:rFonts w:cs="Arial"/>
          <w:szCs w:val="24"/>
        </w:rPr>
        <w:lastRenderedPageBreak/>
        <w:t>También las previsiones para la inflación se han recortado. La Comisión Europea sitúa ahora la inflación media de la zona euro en el 0,5% interanual en 2014 y 0,8% interanual en 2015.</w:t>
      </w:r>
    </w:p>
    <w:p w:rsidR="00A65C5F" w:rsidRPr="003D54DD" w:rsidRDefault="00A65C5F" w:rsidP="00A65C5F">
      <w:pPr>
        <w:jc w:val="both"/>
        <w:rPr>
          <w:rFonts w:cs="Arial"/>
          <w:szCs w:val="24"/>
        </w:rPr>
      </w:pPr>
    </w:p>
    <w:p w:rsidR="00A65C5F" w:rsidRPr="003D54DD" w:rsidRDefault="00A65C5F" w:rsidP="00A65C5F">
      <w:pPr>
        <w:widowControl w:val="0"/>
        <w:jc w:val="both"/>
        <w:rPr>
          <w:rFonts w:cs="Arial"/>
          <w:szCs w:val="24"/>
        </w:rPr>
      </w:pPr>
      <w:r w:rsidRPr="003D54DD">
        <w:rPr>
          <w:rFonts w:cs="Arial"/>
          <w:szCs w:val="24"/>
        </w:rPr>
        <w:t xml:space="preserve">En España, la mejora de la actividad se sustenta en la relajación de las tensiones financieras, en un menor esfuerzo fiscal que el realizado en años anteriores y en la solidez del sector exterior. Además, la confianza del consumidor ha crecido también en los últimos meses y la demanda interna (consumo de las familias y gasto empresarial) está mostrando síntomas de recuperación. Las previsiones de los expertos apuntan a que este cambio de tendencia hacia la recuperación económica se está consolidando a lo largo de 2014, si bien con prudencia en las estimaciones de crecimiento, alcanzando un 1,2% interanual previsto para 2014 y un 1,7% interanual para 2015. </w:t>
      </w:r>
    </w:p>
    <w:p w:rsidR="00A65C5F" w:rsidRPr="003D54DD" w:rsidRDefault="00A65C5F" w:rsidP="00A65C5F">
      <w:pPr>
        <w:tabs>
          <w:tab w:val="left" w:pos="1470"/>
        </w:tabs>
        <w:jc w:val="both"/>
        <w:rPr>
          <w:rFonts w:cs="Arial"/>
          <w:szCs w:val="24"/>
        </w:rPr>
      </w:pPr>
    </w:p>
    <w:p w:rsidR="00A65C5F" w:rsidRPr="003D54DD" w:rsidRDefault="00A65C5F" w:rsidP="00A65C5F">
      <w:pPr>
        <w:tabs>
          <w:tab w:val="left" w:pos="1470"/>
        </w:tabs>
        <w:jc w:val="both"/>
        <w:rPr>
          <w:rFonts w:cs="Arial"/>
          <w:szCs w:val="24"/>
        </w:rPr>
      </w:pPr>
      <w:r w:rsidRPr="003D54DD">
        <w:rPr>
          <w:rFonts w:cs="Arial"/>
          <w:szCs w:val="24"/>
        </w:rPr>
        <w:t>En lo referente a las Administraciones Públicas, continúa aumentando la presión sobre el cumplimiento de los objetivos presupuestarios, que se traduce en un mantenimiento de la política de contención del gasto público.</w:t>
      </w:r>
    </w:p>
    <w:p w:rsidR="00A65C5F" w:rsidRPr="003D54DD" w:rsidRDefault="00A65C5F" w:rsidP="00A65C5F">
      <w:pPr>
        <w:tabs>
          <w:tab w:val="left" w:pos="1470"/>
        </w:tabs>
        <w:jc w:val="both"/>
        <w:rPr>
          <w:rFonts w:cs="Arial"/>
          <w:szCs w:val="24"/>
        </w:rPr>
      </w:pPr>
    </w:p>
    <w:p w:rsidR="00A65C5F" w:rsidRPr="003D54DD" w:rsidRDefault="00A65C5F" w:rsidP="00A65C5F">
      <w:pPr>
        <w:jc w:val="both"/>
        <w:rPr>
          <w:rFonts w:cs="Arial"/>
          <w:szCs w:val="24"/>
        </w:rPr>
      </w:pPr>
      <w:r w:rsidRPr="003D54DD">
        <w:rPr>
          <w:rFonts w:cs="Arial"/>
          <w:szCs w:val="24"/>
        </w:rPr>
        <w:t xml:space="preserve">Estos hechos nos llevan a plantear unas previsiones </w:t>
      </w:r>
      <w:r w:rsidR="000178A3">
        <w:rPr>
          <w:rFonts w:cs="Arial"/>
          <w:szCs w:val="24"/>
        </w:rPr>
        <w:t xml:space="preserve">para el plan de actuación de 2015 </w:t>
      </w:r>
      <w:r w:rsidRPr="003D54DD">
        <w:rPr>
          <w:rFonts w:cs="Arial"/>
          <w:szCs w:val="24"/>
        </w:rPr>
        <w:t>de nuevo prudentes</w:t>
      </w:r>
      <w:r w:rsidR="000178A3">
        <w:rPr>
          <w:rFonts w:cs="Arial"/>
          <w:szCs w:val="24"/>
        </w:rPr>
        <w:t>,</w:t>
      </w:r>
      <w:r w:rsidRPr="003D54DD">
        <w:rPr>
          <w:rFonts w:cs="Arial"/>
          <w:szCs w:val="24"/>
        </w:rPr>
        <w:t xml:space="preserve"> enmarcadas dentro de las grandes líneas definidas </w:t>
      </w:r>
      <w:r w:rsidRPr="000178A3">
        <w:rPr>
          <w:rFonts w:cs="Arial"/>
          <w:szCs w:val="24"/>
        </w:rPr>
        <w:t xml:space="preserve">en la </w:t>
      </w:r>
      <w:r w:rsidR="000178A3" w:rsidRPr="000178A3">
        <w:rPr>
          <w:rFonts w:cs="Arial"/>
          <w:szCs w:val="24"/>
        </w:rPr>
        <w:t>revisión de las proyecciones económico financieras</w:t>
      </w:r>
      <w:r w:rsidRPr="000178A3">
        <w:rPr>
          <w:rFonts w:cs="Arial"/>
          <w:szCs w:val="24"/>
        </w:rPr>
        <w:t xml:space="preserve"> y en el presupuesto del</w:t>
      </w:r>
      <w:r w:rsidRPr="003D54DD">
        <w:rPr>
          <w:rFonts w:cs="Arial"/>
          <w:szCs w:val="24"/>
        </w:rPr>
        <w:t xml:space="preserve"> año anterior, </w:t>
      </w:r>
      <w:r w:rsidR="000178A3">
        <w:rPr>
          <w:rFonts w:cs="Arial"/>
          <w:szCs w:val="24"/>
        </w:rPr>
        <w:t xml:space="preserve">y </w:t>
      </w:r>
      <w:r w:rsidRPr="003D54DD">
        <w:rPr>
          <w:rFonts w:cs="Arial"/>
          <w:szCs w:val="24"/>
        </w:rPr>
        <w:t xml:space="preserve">en el que seguiremos combinando políticas de austeridad con medidas de optimización de recursos y con aprovechamiento de sinergias. </w:t>
      </w:r>
    </w:p>
    <w:p w:rsidR="00DB2485" w:rsidRPr="003D54DD" w:rsidRDefault="00DB2485" w:rsidP="00A65C5F">
      <w:pPr>
        <w:tabs>
          <w:tab w:val="left" w:pos="1470"/>
        </w:tabs>
        <w:jc w:val="both"/>
        <w:rPr>
          <w:rFonts w:cs="Arial"/>
          <w:szCs w:val="24"/>
        </w:rPr>
      </w:pPr>
    </w:p>
    <w:p w:rsidR="00DB2485" w:rsidRPr="003D54DD" w:rsidRDefault="00DB2485" w:rsidP="00DB2485">
      <w:pPr>
        <w:tabs>
          <w:tab w:val="left" w:pos="1470"/>
        </w:tabs>
        <w:jc w:val="both"/>
        <w:rPr>
          <w:rFonts w:cs="Arial"/>
          <w:szCs w:val="24"/>
        </w:rPr>
      </w:pPr>
    </w:p>
    <w:p w:rsidR="00E8581E" w:rsidRPr="00BF7448" w:rsidRDefault="00E8581E" w:rsidP="00865401">
      <w:pPr>
        <w:pStyle w:val="Ttulo2"/>
        <w:numPr>
          <w:ilvl w:val="1"/>
          <w:numId w:val="3"/>
        </w:numPr>
        <w:tabs>
          <w:tab w:val="clear" w:pos="1080"/>
          <w:tab w:val="num" w:pos="360"/>
        </w:tabs>
        <w:spacing w:before="0" w:after="0"/>
        <w:ind w:left="360"/>
        <w:rPr>
          <w:i w:val="0"/>
          <w:color w:val="016FB8"/>
          <w:sz w:val="24"/>
          <w:szCs w:val="24"/>
          <w:u w:val="single"/>
        </w:rPr>
      </w:pPr>
      <w:bookmarkStart w:id="29" w:name="_Toc403984313"/>
      <w:r w:rsidRPr="00BF7448">
        <w:rPr>
          <w:i w:val="0"/>
          <w:color w:val="016FB8"/>
          <w:sz w:val="24"/>
          <w:szCs w:val="24"/>
          <w:u w:val="single"/>
        </w:rPr>
        <w:t>Principales magnitudes</w:t>
      </w:r>
      <w:r w:rsidR="003D4F6C" w:rsidRPr="00BF7448">
        <w:rPr>
          <w:i w:val="0"/>
          <w:color w:val="016FB8"/>
          <w:sz w:val="24"/>
          <w:szCs w:val="24"/>
          <w:u w:val="single"/>
        </w:rPr>
        <w:t xml:space="preserve"> económicas</w:t>
      </w:r>
      <w:bookmarkEnd w:id="28"/>
      <w:r w:rsidR="00BC0C7E" w:rsidRPr="00BF7448">
        <w:rPr>
          <w:i w:val="0"/>
          <w:color w:val="016FB8"/>
          <w:sz w:val="24"/>
          <w:szCs w:val="24"/>
          <w:u w:val="single"/>
        </w:rPr>
        <w:t>, financieras y de empleo</w:t>
      </w:r>
      <w:bookmarkEnd w:id="29"/>
    </w:p>
    <w:p w:rsidR="00484EDA" w:rsidRPr="003D54DD" w:rsidRDefault="00484EDA" w:rsidP="00C1411B"/>
    <w:p w:rsidR="00692B5D" w:rsidRPr="003D54DD" w:rsidRDefault="00692B5D" w:rsidP="00692B5D">
      <w:pPr>
        <w:pStyle w:val="Sangradetextonormal"/>
        <w:ind w:left="0" w:firstLine="0"/>
        <w:jc w:val="both"/>
        <w:rPr>
          <w:rFonts w:cs="Arial"/>
          <w:szCs w:val="24"/>
        </w:rPr>
      </w:pPr>
      <w:r w:rsidRPr="003D54DD">
        <w:rPr>
          <w:rFonts w:cs="Arial"/>
          <w:szCs w:val="24"/>
        </w:rPr>
        <w:t>Se acompañan como Anexo II las Principales Magnitudes del Plan de Actuación de 201</w:t>
      </w:r>
      <w:r w:rsidR="00BC5817" w:rsidRPr="003D54DD">
        <w:rPr>
          <w:rFonts w:cs="Arial"/>
          <w:szCs w:val="24"/>
        </w:rPr>
        <w:t>5</w:t>
      </w:r>
      <w:r w:rsidRPr="003D54DD">
        <w:rPr>
          <w:rFonts w:cs="Arial"/>
          <w:szCs w:val="24"/>
        </w:rPr>
        <w:t xml:space="preserve"> de las Empresas Filiales y del Estimado de cierre de 201</w:t>
      </w:r>
      <w:r w:rsidR="00BC5817" w:rsidRPr="003D54DD">
        <w:rPr>
          <w:rFonts w:cs="Arial"/>
          <w:szCs w:val="24"/>
        </w:rPr>
        <w:t>4</w:t>
      </w:r>
      <w:r w:rsidRPr="003D54DD">
        <w:rPr>
          <w:rFonts w:cs="Arial"/>
          <w:szCs w:val="24"/>
        </w:rPr>
        <w:t>, y la evolución respecto a 201</w:t>
      </w:r>
      <w:r w:rsidR="00BC5817" w:rsidRPr="003D54DD">
        <w:rPr>
          <w:rFonts w:cs="Arial"/>
          <w:szCs w:val="24"/>
        </w:rPr>
        <w:t>3</w:t>
      </w:r>
      <w:r w:rsidRPr="003D54DD">
        <w:rPr>
          <w:rFonts w:cs="Arial"/>
          <w:szCs w:val="24"/>
        </w:rPr>
        <w:t xml:space="preserve"> y Plan de Actuación de 201</w:t>
      </w:r>
      <w:r w:rsidR="00BC5817" w:rsidRPr="003D54DD">
        <w:rPr>
          <w:rFonts w:cs="Arial"/>
          <w:szCs w:val="24"/>
        </w:rPr>
        <w:t>4</w:t>
      </w:r>
      <w:r w:rsidRPr="003D54DD">
        <w:rPr>
          <w:rFonts w:cs="Arial"/>
          <w:szCs w:val="24"/>
        </w:rPr>
        <w:t xml:space="preserve"> en los parámetros de ventas, resultado de explotación, resultado final, inversiones, financiación, plantilla media, patrimonio neto consolidado y endeudamiento consolidado.</w:t>
      </w:r>
    </w:p>
    <w:p w:rsidR="00280D80" w:rsidRPr="003D54DD" w:rsidRDefault="00280D80" w:rsidP="00692B5D">
      <w:pPr>
        <w:pStyle w:val="Sangradetextonormal"/>
        <w:ind w:left="360" w:firstLine="0"/>
        <w:jc w:val="both"/>
        <w:rPr>
          <w:rFonts w:cs="Arial"/>
          <w:b/>
          <w:szCs w:val="24"/>
        </w:rPr>
      </w:pPr>
    </w:p>
    <w:p w:rsidR="008D7820" w:rsidRPr="00BF7448" w:rsidRDefault="00026706" w:rsidP="00750EB7">
      <w:pPr>
        <w:pStyle w:val="Sangradetextonormal"/>
        <w:numPr>
          <w:ilvl w:val="0"/>
          <w:numId w:val="12"/>
        </w:numPr>
        <w:jc w:val="both"/>
        <w:outlineLvl w:val="2"/>
        <w:rPr>
          <w:rFonts w:cs="Arial"/>
          <w:b/>
          <w:color w:val="016FB8"/>
          <w:szCs w:val="24"/>
          <w:u w:val="single"/>
        </w:rPr>
      </w:pPr>
      <w:bookmarkStart w:id="30" w:name="_Toc403984314"/>
      <w:r w:rsidRPr="00BF7448">
        <w:rPr>
          <w:rFonts w:cs="Arial"/>
          <w:b/>
          <w:color w:val="016FB8"/>
          <w:szCs w:val="24"/>
          <w:u w:val="single"/>
        </w:rPr>
        <w:t>Ingresos por ventas</w:t>
      </w:r>
      <w:bookmarkEnd w:id="30"/>
    </w:p>
    <w:p w:rsidR="00484EDA" w:rsidRPr="003D54DD" w:rsidRDefault="00484EDA" w:rsidP="00C1411B">
      <w:pPr>
        <w:autoSpaceDE w:val="0"/>
        <w:autoSpaceDN w:val="0"/>
        <w:adjustRightInd w:val="0"/>
        <w:jc w:val="both"/>
        <w:rPr>
          <w:rFonts w:cs="Arial"/>
          <w:szCs w:val="24"/>
        </w:rPr>
      </w:pPr>
    </w:p>
    <w:p w:rsidR="00692B5D" w:rsidRPr="003D54DD" w:rsidRDefault="00692B5D" w:rsidP="00692B5D">
      <w:pPr>
        <w:jc w:val="both"/>
        <w:rPr>
          <w:rFonts w:cs="Arial"/>
          <w:szCs w:val="24"/>
        </w:rPr>
      </w:pPr>
      <w:r w:rsidRPr="003D54DD">
        <w:rPr>
          <w:rFonts w:cs="Arial"/>
          <w:szCs w:val="24"/>
        </w:rPr>
        <w:t>Se prevé cerrar el ejercicio 201</w:t>
      </w:r>
      <w:r w:rsidR="008F7859" w:rsidRPr="003D54DD">
        <w:rPr>
          <w:rFonts w:cs="Arial"/>
          <w:szCs w:val="24"/>
        </w:rPr>
        <w:t>4</w:t>
      </w:r>
      <w:r w:rsidRPr="003D54DD">
        <w:rPr>
          <w:rFonts w:cs="Arial"/>
          <w:szCs w:val="24"/>
        </w:rPr>
        <w:t xml:space="preserve"> con unas ventas totales de </w:t>
      </w:r>
      <w:r w:rsidR="008F7859" w:rsidRPr="003D54DD">
        <w:rPr>
          <w:rFonts w:cs="Arial"/>
          <w:szCs w:val="24"/>
        </w:rPr>
        <w:t>305</w:t>
      </w:r>
      <w:r w:rsidRPr="003D54DD">
        <w:rPr>
          <w:rFonts w:cs="Arial"/>
          <w:szCs w:val="24"/>
        </w:rPr>
        <w:t xml:space="preserve"> millones de euros, lo que implica mejorar </w:t>
      </w:r>
      <w:r w:rsidR="008F7859" w:rsidRPr="003D54DD">
        <w:rPr>
          <w:rFonts w:cs="Arial"/>
          <w:szCs w:val="24"/>
        </w:rPr>
        <w:t>el ejercicio 2013 un 6,2%</w:t>
      </w:r>
      <w:r w:rsidRPr="003D54DD">
        <w:rPr>
          <w:rFonts w:cs="Arial"/>
          <w:szCs w:val="24"/>
        </w:rPr>
        <w:t xml:space="preserve"> y un grado de cumplimiento del Plan de Actuación del </w:t>
      </w:r>
      <w:r w:rsidR="008F7859" w:rsidRPr="003D54DD">
        <w:rPr>
          <w:rFonts w:cs="Arial"/>
          <w:szCs w:val="24"/>
        </w:rPr>
        <w:t>103</w:t>
      </w:r>
      <w:r w:rsidRPr="003D54DD">
        <w:rPr>
          <w:rFonts w:cs="Arial"/>
          <w:szCs w:val="24"/>
        </w:rPr>
        <w:t xml:space="preserve">%. </w:t>
      </w:r>
    </w:p>
    <w:p w:rsidR="00692B5D" w:rsidRPr="003D54DD" w:rsidRDefault="00692B5D" w:rsidP="00692B5D">
      <w:pPr>
        <w:ind w:left="1080"/>
        <w:jc w:val="both"/>
        <w:rPr>
          <w:rFonts w:cs="Arial"/>
          <w:szCs w:val="24"/>
        </w:rPr>
      </w:pPr>
    </w:p>
    <w:p w:rsidR="00692B5D" w:rsidRPr="003D54DD" w:rsidRDefault="00692B5D" w:rsidP="00692B5D">
      <w:pPr>
        <w:jc w:val="both"/>
        <w:rPr>
          <w:rFonts w:cs="Arial"/>
          <w:szCs w:val="24"/>
        </w:rPr>
      </w:pPr>
      <w:r w:rsidRPr="003D54DD">
        <w:rPr>
          <w:rFonts w:cs="Arial"/>
          <w:szCs w:val="24"/>
        </w:rPr>
        <w:t>Para el ejercicio 201</w:t>
      </w:r>
      <w:r w:rsidR="008F7859" w:rsidRPr="003D54DD">
        <w:rPr>
          <w:rFonts w:cs="Arial"/>
          <w:szCs w:val="24"/>
        </w:rPr>
        <w:t>5</w:t>
      </w:r>
      <w:r w:rsidRPr="003D54DD">
        <w:rPr>
          <w:rFonts w:cs="Arial"/>
          <w:szCs w:val="24"/>
        </w:rPr>
        <w:t xml:space="preserve"> se prevé un crecimiento en la cifra de ventas del </w:t>
      </w:r>
      <w:r w:rsidR="008F7859" w:rsidRPr="003D54DD">
        <w:rPr>
          <w:rFonts w:cs="Arial"/>
          <w:szCs w:val="24"/>
        </w:rPr>
        <w:t>3,6</w:t>
      </w:r>
      <w:r w:rsidRPr="003D54DD">
        <w:rPr>
          <w:rFonts w:cs="Arial"/>
          <w:szCs w:val="24"/>
        </w:rPr>
        <w:t xml:space="preserve">%, lo que supone superar la cifra de </w:t>
      </w:r>
      <w:r w:rsidR="008F7859" w:rsidRPr="003D54DD">
        <w:rPr>
          <w:rFonts w:cs="Arial"/>
          <w:szCs w:val="24"/>
        </w:rPr>
        <w:t>315</w:t>
      </w:r>
      <w:r w:rsidRPr="003D54DD">
        <w:rPr>
          <w:rFonts w:cs="Arial"/>
          <w:szCs w:val="24"/>
        </w:rPr>
        <w:t xml:space="preserve"> millones de euros. El Grupo Fundosa apuesta por actuaciones de crecimiento como medida para compensar la reducción de márgenes y como medio para lograr el objetivo de creación de empleo para trabajadores </w:t>
      </w:r>
      <w:r w:rsidR="000178A3">
        <w:rPr>
          <w:rFonts w:cs="Arial"/>
          <w:szCs w:val="24"/>
        </w:rPr>
        <w:t xml:space="preserve">con </w:t>
      </w:r>
      <w:r w:rsidRPr="003D54DD">
        <w:rPr>
          <w:rFonts w:cs="Arial"/>
          <w:szCs w:val="24"/>
        </w:rPr>
        <w:t>discapaci</w:t>
      </w:r>
      <w:r w:rsidR="000178A3">
        <w:rPr>
          <w:rFonts w:cs="Arial"/>
          <w:szCs w:val="24"/>
        </w:rPr>
        <w:t>dad</w:t>
      </w:r>
      <w:r w:rsidRPr="003D54DD">
        <w:rPr>
          <w:rFonts w:cs="Arial"/>
          <w:szCs w:val="24"/>
        </w:rPr>
        <w:t xml:space="preserve">. </w:t>
      </w:r>
    </w:p>
    <w:p w:rsidR="00187B02" w:rsidRPr="003D54DD" w:rsidRDefault="00187B02" w:rsidP="00C1411B">
      <w:pPr>
        <w:ind w:left="360"/>
        <w:jc w:val="both"/>
        <w:rPr>
          <w:rFonts w:cs="Arial"/>
        </w:rPr>
      </w:pPr>
    </w:p>
    <w:p w:rsidR="00F2370C" w:rsidRDefault="00F2370C" w:rsidP="00C1411B">
      <w:pPr>
        <w:ind w:left="360"/>
        <w:jc w:val="both"/>
        <w:rPr>
          <w:rFonts w:cs="Arial"/>
        </w:rPr>
      </w:pPr>
    </w:p>
    <w:p w:rsidR="008D7820" w:rsidRPr="00BF7448" w:rsidRDefault="00484EDA" w:rsidP="00750EB7">
      <w:pPr>
        <w:pStyle w:val="Sangradetextonormal"/>
        <w:numPr>
          <w:ilvl w:val="0"/>
          <w:numId w:val="13"/>
        </w:numPr>
        <w:jc w:val="both"/>
        <w:outlineLvl w:val="2"/>
        <w:rPr>
          <w:rFonts w:cs="Arial"/>
          <w:b/>
          <w:color w:val="016FB8"/>
          <w:szCs w:val="24"/>
          <w:u w:val="single"/>
        </w:rPr>
      </w:pPr>
      <w:bookmarkStart w:id="31" w:name="_Toc403984315"/>
      <w:r w:rsidRPr="00BF7448">
        <w:rPr>
          <w:rFonts w:cs="Arial"/>
          <w:b/>
          <w:color w:val="016FB8"/>
          <w:szCs w:val="24"/>
          <w:u w:val="single"/>
        </w:rPr>
        <w:lastRenderedPageBreak/>
        <w:t>Resultado de explotación</w:t>
      </w:r>
      <w:bookmarkEnd w:id="31"/>
    </w:p>
    <w:p w:rsidR="00484EDA" w:rsidRPr="003D54DD" w:rsidRDefault="00484EDA" w:rsidP="00C1411B">
      <w:pPr>
        <w:pStyle w:val="Sangradetextonormal"/>
        <w:jc w:val="both"/>
        <w:rPr>
          <w:rFonts w:cs="Arial"/>
          <w:szCs w:val="24"/>
          <w:u w:val="single"/>
        </w:rPr>
      </w:pPr>
    </w:p>
    <w:p w:rsidR="00692B5D" w:rsidRPr="003D54DD" w:rsidRDefault="00692B5D" w:rsidP="00692B5D">
      <w:pPr>
        <w:jc w:val="both"/>
        <w:rPr>
          <w:rFonts w:cs="Arial"/>
          <w:szCs w:val="24"/>
        </w:rPr>
      </w:pPr>
      <w:r w:rsidRPr="003D54DD">
        <w:rPr>
          <w:rFonts w:cs="Arial"/>
          <w:szCs w:val="24"/>
        </w:rPr>
        <w:t>Para el cierre de 201</w:t>
      </w:r>
      <w:r w:rsidR="008F7859" w:rsidRPr="003D54DD">
        <w:rPr>
          <w:rFonts w:cs="Arial"/>
          <w:szCs w:val="24"/>
        </w:rPr>
        <w:t>4</w:t>
      </w:r>
      <w:r w:rsidRPr="003D54DD">
        <w:rPr>
          <w:rFonts w:cs="Arial"/>
          <w:szCs w:val="24"/>
        </w:rPr>
        <w:t xml:space="preserve"> se prevé un resultado de explotación </w:t>
      </w:r>
      <w:r w:rsidR="008F7859" w:rsidRPr="003D54DD">
        <w:rPr>
          <w:rFonts w:cs="Arial"/>
          <w:szCs w:val="24"/>
        </w:rPr>
        <w:t>positivo de 0,9 millones</w:t>
      </w:r>
      <w:r w:rsidR="000178A3">
        <w:rPr>
          <w:rFonts w:cs="Arial"/>
          <w:szCs w:val="24"/>
        </w:rPr>
        <w:t xml:space="preserve"> de euros</w:t>
      </w:r>
      <w:r w:rsidRPr="003D54DD">
        <w:rPr>
          <w:rFonts w:cs="Arial"/>
          <w:szCs w:val="24"/>
        </w:rPr>
        <w:t xml:space="preserve">, frente a un plan de actuación con unos beneficios de </w:t>
      </w:r>
      <w:r w:rsidR="008F7859" w:rsidRPr="003D54DD">
        <w:rPr>
          <w:rFonts w:cs="Arial"/>
          <w:szCs w:val="24"/>
        </w:rPr>
        <w:t>1,6</w:t>
      </w:r>
      <w:r w:rsidRPr="003D54DD">
        <w:rPr>
          <w:rFonts w:cs="Arial"/>
          <w:szCs w:val="24"/>
        </w:rPr>
        <w:t xml:space="preserve"> millones. En el ejercicio anterior, se obtuvo un beneficio de </w:t>
      </w:r>
      <w:r w:rsidR="008F7859" w:rsidRPr="003D54DD">
        <w:rPr>
          <w:rFonts w:cs="Arial"/>
          <w:szCs w:val="24"/>
        </w:rPr>
        <w:t>1,2</w:t>
      </w:r>
      <w:r w:rsidRPr="003D54DD">
        <w:rPr>
          <w:rFonts w:cs="Arial"/>
          <w:szCs w:val="24"/>
        </w:rPr>
        <w:t xml:space="preserve"> millones de euros. </w:t>
      </w:r>
    </w:p>
    <w:p w:rsidR="00692B5D" w:rsidRPr="003D54DD" w:rsidRDefault="00692B5D" w:rsidP="00692B5D">
      <w:pPr>
        <w:jc w:val="both"/>
        <w:rPr>
          <w:rFonts w:cs="Arial"/>
          <w:szCs w:val="24"/>
        </w:rPr>
      </w:pPr>
    </w:p>
    <w:p w:rsidR="00692B5D" w:rsidRPr="003D54DD" w:rsidRDefault="00692B5D" w:rsidP="00692B5D">
      <w:pPr>
        <w:jc w:val="both"/>
        <w:rPr>
          <w:rFonts w:cs="Arial"/>
          <w:szCs w:val="24"/>
        </w:rPr>
      </w:pPr>
      <w:r w:rsidRPr="003D54DD">
        <w:rPr>
          <w:rFonts w:cs="Arial"/>
          <w:szCs w:val="24"/>
        </w:rPr>
        <w:t>Para 201</w:t>
      </w:r>
      <w:r w:rsidR="008F7859" w:rsidRPr="003D54DD">
        <w:rPr>
          <w:rFonts w:cs="Arial"/>
          <w:szCs w:val="24"/>
        </w:rPr>
        <w:t>5</w:t>
      </w:r>
      <w:r w:rsidRPr="003D54DD">
        <w:rPr>
          <w:rFonts w:cs="Arial"/>
          <w:szCs w:val="24"/>
        </w:rPr>
        <w:t xml:space="preserve"> se ha previsto un beneficio de explotación de 1,</w:t>
      </w:r>
      <w:r w:rsidR="008F7859" w:rsidRPr="003D54DD">
        <w:rPr>
          <w:rFonts w:cs="Arial"/>
          <w:szCs w:val="24"/>
        </w:rPr>
        <w:t>9</w:t>
      </w:r>
      <w:r w:rsidRPr="003D54DD">
        <w:rPr>
          <w:rFonts w:cs="Arial"/>
          <w:szCs w:val="24"/>
        </w:rPr>
        <w:t xml:space="preserve"> millones de euros. Todas las áreas de negoci</w:t>
      </w:r>
      <w:r w:rsidR="00834116" w:rsidRPr="003D54DD">
        <w:rPr>
          <w:rFonts w:cs="Arial"/>
          <w:szCs w:val="24"/>
        </w:rPr>
        <w:t>o del G</w:t>
      </w:r>
      <w:r w:rsidRPr="003D54DD">
        <w:rPr>
          <w:rFonts w:cs="Arial"/>
          <w:szCs w:val="24"/>
        </w:rPr>
        <w:t>rupo mejoran sus resultados respecto al estimado de cierre de 201</w:t>
      </w:r>
      <w:r w:rsidR="002E4E90" w:rsidRPr="003D54DD">
        <w:rPr>
          <w:rFonts w:cs="Arial"/>
          <w:szCs w:val="24"/>
        </w:rPr>
        <w:t>4</w:t>
      </w:r>
      <w:r w:rsidRPr="003D54DD">
        <w:rPr>
          <w:rFonts w:cs="Arial"/>
          <w:szCs w:val="24"/>
        </w:rPr>
        <w:t xml:space="preserve">, </w:t>
      </w:r>
      <w:r w:rsidR="004F5ECA" w:rsidRPr="003D54DD">
        <w:t>salvo el Áre</w:t>
      </w:r>
      <w:r w:rsidR="002E4E90" w:rsidRPr="003D54DD">
        <w:t xml:space="preserve">a de Soluciones de Negocio BPO </w:t>
      </w:r>
      <w:r w:rsidR="000178A3">
        <w:t>por</w:t>
      </w:r>
      <w:r w:rsidR="002E4E90" w:rsidRPr="003D54DD">
        <w:t xml:space="preserve"> </w:t>
      </w:r>
      <w:r w:rsidR="004F5ECA" w:rsidRPr="003D54DD">
        <w:t>las empresas de Telemarketing</w:t>
      </w:r>
      <w:r w:rsidRPr="003D54DD">
        <w:rPr>
          <w:rFonts w:cs="Arial"/>
          <w:szCs w:val="24"/>
        </w:rPr>
        <w:t>.</w:t>
      </w:r>
    </w:p>
    <w:p w:rsidR="00F61A81" w:rsidRPr="003D54DD" w:rsidRDefault="00F61A81" w:rsidP="00324BB0">
      <w:pPr>
        <w:ind w:left="360"/>
        <w:jc w:val="both"/>
        <w:rPr>
          <w:rFonts w:cs="Arial"/>
          <w:szCs w:val="24"/>
        </w:rPr>
      </w:pPr>
    </w:p>
    <w:p w:rsidR="00324BB0" w:rsidRPr="003D54DD" w:rsidRDefault="00324BB0" w:rsidP="00324BB0">
      <w:pPr>
        <w:jc w:val="both"/>
        <w:rPr>
          <w:rFonts w:eastAsia="Verdana" w:cs="Arial"/>
          <w:szCs w:val="24"/>
        </w:rPr>
      </w:pPr>
      <w:r w:rsidRPr="003D54DD">
        <w:rPr>
          <w:rFonts w:eastAsia="Verdana" w:cs="Arial"/>
          <w:szCs w:val="24"/>
        </w:rPr>
        <w:t>Las empresas que aportan beneficios de explotación más elevados son:</w:t>
      </w:r>
    </w:p>
    <w:p w:rsidR="00324BB0" w:rsidRPr="003D54DD" w:rsidRDefault="00324BB0" w:rsidP="00324BB0">
      <w:pPr>
        <w:ind w:left="360"/>
        <w:jc w:val="both"/>
        <w:rPr>
          <w:rFonts w:cs="Arial"/>
          <w:szCs w:val="24"/>
        </w:rPr>
      </w:pPr>
    </w:p>
    <w:p w:rsidR="00324BB0" w:rsidRPr="003D54DD" w:rsidRDefault="00324BB0" w:rsidP="00324BB0">
      <w:pPr>
        <w:jc w:val="both"/>
        <w:rPr>
          <w:rFonts w:cs="Arial"/>
          <w:szCs w:val="24"/>
          <w:u w:val="single"/>
        </w:rPr>
      </w:pPr>
      <w:r w:rsidRPr="003D54DD">
        <w:rPr>
          <w:rFonts w:cs="Arial"/>
          <w:szCs w:val="24"/>
          <w:u w:val="single"/>
        </w:rPr>
        <w:t>GRUPO FLISA</w:t>
      </w:r>
    </w:p>
    <w:p w:rsidR="00324BB0" w:rsidRPr="003D54DD" w:rsidRDefault="00324BB0" w:rsidP="00324BB0">
      <w:pPr>
        <w:jc w:val="both"/>
        <w:rPr>
          <w:rFonts w:cs="Arial"/>
          <w:szCs w:val="24"/>
        </w:rPr>
      </w:pPr>
    </w:p>
    <w:p w:rsidR="00324BB0" w:rsidRPr="003D54DD" w:rsidRDefault="00324BB0" w:rsidP="00324BB0">
      <w:pPr>
        <w:jc w:val="both"/>
        <w:rPr>
          <w:rFonts w:cs="Arial"/>
          <w:szCs w:val="24"/>
        </w:rPr>
      </w:pPr>
      <w:r w:rsidRPr="003D54DD">
        <w:rPr>
          <w:rFonts w:cs="Arial"/>
          <w:szCs w:val="24"/>
        </w:rPr>
        <w:t xml:space="preserve">En 2015 Flisa continuará siendo la sociedad más rentable, si bien el crecimiento se espera sea más moderado que el del ejercicio anterior. </w:t>
      </w:r>
    </w:p>
    <w:p w:rsidR="00324BB0" w:rsidRPr="003D54DD" w:rsidRDefault="00324BB0" w:rsidP="00324BB0">
      <w:pPr>
        <w:jc w:val="both"/>
        <w:rPr>
          <w:rFonts w:cs="Arial"/>
          <w:szCs w:val="24"/>
        </w:rPr>
      </w:pPr>
    </w:p>
    <w:p w:rsidR="00324BB0" w:rsidRPr="003D54DD" w:rsidRDefault="00324BB0" w:rsidP="00324BB0">
      <w:pPr>
        <w:jc w:val="both"/>
        <w:rPr>
          <w:rFonts w:cs="Arial"/>
          <w:szCs w:val="24"/>
        </w:rPr>
      </w:pPr>
      <w:r w:rsidRPr="003D54DD">
        <w:rPr>
          <w:rFonts w:cs="Arial"/>
          <w:szCs w:val="24"/>
        </w:rPr>
        <w:t xml:space="preserve">Durante el 2015 se trabajará en impulsar la consolidación de las nuevas líneas, mantener e incluso incrementar el liderazgo en el sector de la lavandería industrial, así como incrementar la rentabilidad social, generando empleo para personas con discapacidad. </w:t>
      </w:r>
    </w:p>
    <w:p w:rsidR="00324BB0" w:rsidRPr="003D54DD" w:rsidRDefault="00324BB0" w:rsidP="00324BB0">
      <w:pPr>
        <w:jc w:val="both"/>
        <w:rPr>
          <w:rFonts w:cs="Arial"/>
          <w:szCs w:val="24"/>
        </w:rPr>
      </w:pPr>
    </w:p>
    <w:p w:rsidR="00324BB0" w:rsidRPr="003D54DD" w:rsidRDefault="00324BB0" w:rsidP="00324BB0">
      <w:pPr>
        <w:jc w:val="both"/>
        <w:rPr>
          <w:rFonts w:cs="Arial"/>
          <w:szCs w:val="24"/>
        </w:rPr>
      </w:pPr>
      <w:r w:rsidRPr="003D54DD">
        <w:rPr>
          <w:rFonts w:cs="Arial"/>
          <w:szCs w:val="24"/>
        </w:rPr>
        <w:t xml:space="preserve">No obstante, Flisa debe hacer frente a importantes amenazas en el sector, como la mayor concentración de negocio en los grandes operadores, la aparición de nuevos players (grandes empresas de facility services que diversifican su oferta de servicios integrales sobre todo en hospitales), y el intento de réplica del modelo social de Flisa por parte de sus competidores. Para ello, </w:t>
      </w:r>
      <w:r w:rsidR="001B33EA">
        <w:rPr>
          <w:rFonts w:cs="Arial"/>
          <w:szCs w:val="24"/>
        </w:rPr>
        <w:t>se</w:t>
      </w:r>
      <w:r w:rsidRPr="003D54DD">
        <w:rPr>
          <w:rFonts w:cs="Arial"/>
          <w:szCs w:val="24"/>
        </w:rPr>
        <w:t xml:space="preserve"> apuesta por:</w:t>
      </w:r>
    </w:p>
    <w:p w:rsidR="00324BB0" w:rsidRPr="003D54DD" w:rsidRDefault="00324BB0" w:rsidP="00324BB0">
      <w:pPr>
        <w:jc w:val="both"/>
        <w:rPr>
          <w:rFonts w:cs="Arial"/>
          <w:szCs w:val="24"/>
        </w:rPr>
      </w:pPr>
    </w:p>
    <w:p w:rsidR="00324BB0" w:rsidRPr="003D54DD" w:rsidRDefault="00324BB0" w:rsidP="00670A7C">
      <w:pPr>
        <w:numPr>
          <w:ilvl w:val="0"/>
          <w:numId w:val="16"/>
        </w:numPr>
        <w:ind w:left="360"/>
        <w:jc w:val="both"/>
        <w:rPr>
          <w:rFonts w:cs="Arial"/>
          <w:szCs w:val="24"/>
        </w:rPr>
      </w:pPr>
      <w:r w:rsidRPr="003D54DD">
        <w:rPr>
          <w:szCs w:val="24"/>
          <w:u w:val="single"/>
        </w:rPr>
        <w:t>Calidad</w:t>
      </w:r>
      <w:r w:rsidRPr="003D54DD">
        <w:rPr>
          <w:rFonts w:cs="Arial"/>
          <w:szCs w:val="24"/>
          <w:u w:val="single"/>
        </w:rPr>
        <w:t>, producto, servicio, satisfacción e imagen</w:t>
      </w:r>
      <w:r w:rsidRPr="003D54DD">
        <w:rPr>
          <w:rFonts w:cs="Arial"/>
          <w:szCs w:val="24"/>
        </w:rPr>
        <w:t>: Flisa velará por la calidad del servicio como sinónimo de excelencia y liderazgo empresarial.</w:t>
      </w:r>
    </w:p>
    <w:p w:rsidR="00324BB0" w:rsidRPr="003D54DD" w:rsidRDefault="00324BB0" w:rsidP="00670A7C">
      <w:pPr>
        <w:tabs>
          <w:tab w:val="left" w:pos="1470"/>
        </w:tabs>
        <w:jc w:val="both"/>
        <w:rPr>
          <w:rFonts w:cs="Arial"/>
          <w:szCs w:val="24"/>
        </w:rPr>
      </w:pPr>
    </w:p>
    <w:p w:rsidR="00324BB0" w:rsidRPr="003D54DD" w:rsidRDefault="00324BB0" w:rsidP="00670A7C">
      <w:pPr>
        <w:numPr>
          <w:ilvl w:val="0"/>
          <w:numId w:val="16"/>
        </w:numPr>
        <w:ind w:left="360"/>
        <w:jc w:val="both"/>
        <w:rPr>
          <w:rFonts w:cs="Arial"/>
          <w:szCs w:val="24"/>
        </w:rPr>
      </w:pPr>
      <w:r w:rsidRPr="003D54DD">
        <w:rPr>
          <w:szCs w:val="24"/>
          <w:u w:val="single"/>
        </w:rPr>
        <w:t>Optimización</w:t>
      </w:r>
      <w:r w:rsidRPr="003D54DD">
        <w:rPr>
          <w:rFonts w:cs="Arial"/>
          <w:szCs w:val="24"/>
          <w:u w:val="single"/>
        </w:rPr>
        <w:t xml:space="preserve"> y organización</w:t>
      </w:r>
      <w:r w:rsidRPr="003D54DD">
        <w:rPr>
          <w:rFonts w:cs="Arial"/>
          <w:szCs w:val="24"/>
        </w:rPr>
        <w:t>: La eficiencia operativa y energética, a través de la homogeniza</w:t>
      </w:r>
      <w:r w:rsidR="001B33EA">
        <w:rPr>
          <w:rFonts w:cs="Arial"/>
          <w:szCs w:val="24"/>
        </w:rPr>
        <w:t>ción en organización industrial</w:t>
      </w:r>
      <w:r w:rsidRPr="003D54DD">
        <w:rPr>
          <w:rFonts w:cs="Arial"/>
          <w:szCs w:val="24"/>
        </w:rPr>
        <w:t xml:space="preserve"> para conseguir la disminución de los costes de producción, es un aspecto capital para la compañía que debe compensar la fuerte bajada de precios de venta. </w:t>
      </w:r>
    </w:p>
    <w:p w:rsidR="00324BB0" w:rsidRPr="003D54DD" w:rsidRDefault="00324BB0" w:rsidP="00670A7C">
      <w:pPr>
        <w:tabs>
          <w:tab w:val="left" w:pos="1470"/>
        </w:tabs>
        <w:jc w:val="both"/>
        <w:rPr>
          <w:rFonts w:cs="Arial"/>
          <w:szCs w:val="24"/>
        </w:rPr>
      </w:pPr>
    </w:p>
    <w:p w:rsidR="00324BB0" w:rsidRPr="003D54DD" w:rsidRDefault="00324BB0" w:rsidP="00670A7C">
      <w:pPr>
        <w:numPr>
          <w:ilvl w:val="0"/>
          <w:numId w:val="16"/>
        </w:numPr>
        <w:ind w:left="360"/>
        <w:jc w:val="both"/>
        <w:rPr>
          <w:rFonts w:cs="Arial"/>
          <w:szCs w:val="24"/>
        </w:rPr>
      </w:pPr>
      <w:r w:rsidRPr="003D54DD">
        <w:rPr>
          <w:szCs w:val="24"/>
          <w:u w:val="single"/>
        </w:rPr>
        <w:t>Crecimiento</w:t>
      </w:r>
      <w:r w:rsidRPr="003D54DD">
        <w:rPr>
          <w:rFonts w:cs="Arial"/>
          <w:szCs w:val="24"/>
        </w:rPr>
        <w:t>: La compañía se centrará en asignar recursos a mejorar y realizar inversiones en las plantas existentes. No obstante, se llevarán a cabo las siguientes acciones:</w:t>
      </w:r>
    </w:p>
    <w:p w:rsidR="00324BB0" w:rsidRPr="003D54DD" w:rsidRDefault="00324BB0" w:rsidP="00670A7C">
      <w:pPr>
        <w:pStyle w:val="Prrafodelista"/>
        <w:ind w:left="0"/>
        <w:jc w:val="both"/>
        <w:rPr>
          <w:rFonts w:cs="Arial"/>
          <w:szCs w:val="24"/>
        </w:rPr>
      </w:pPr>
    </w:p>
    <w:p w:rsidR="00324BB0" w:rsidRPr="003D54DD" w:rsidRDefault="00324BB0" w:rsidP="00C545F0">
      <w:pPr>
        <w:numPr>
          <w:ilvl w:val="0"/>
          <w:numId w:val="4"/>
        </w:numPr>
        <w:jc w:val="both"/>
        <w:rPr>
          <w:rFonts w:cs="Arial"/>
          <w:szCs w:val="24"/>
        </w:rPr>
      </w:pPr>
      <w:r w:rsidRPr="003D54DD">
        <w:rPr>
          <w:rFonts w:cs="Arial"/>
          <w:szCs w:val="24"/>
        </w:rPr>
        <w:t xml:space="preserve">Análisis de proyectos nacionales e internacionales que se consideren estratégicos para la compañía. </w:t>
      </w:r>
    </w:p>
    <w:p w:rsidR="00324BB0" w:rsidRPr="003D54DD" w:rsidRDefault="00324BB0" w:rsidP="00670A7C">
      <w:pPr>
        <w:pStyle w:val="Prrafodelista"/>
        <w:ind w:left="348"/>
        <w:jc w:val="both"/>
        <w:rPr>
          <w:rFonts w:cs="Arial"/>
          <w:szCs w:val="24"/>
        </w:rPr>
      </w:pPr>
    </w:p>
    <w:p w:rsidR="00324BB0" w:rsidRPr="003D54DD" w:rsidRDefault="00324BB0" w:rsidP="00C545F0">
      <w:pPr>
        <w:numPr>
          <w:ilvl w:val="0"/>
          <w:numId w:val="4"/>
        </w:numPr>
        <w:jc w:val="both"/>
        <w:rPr>
          <w:rFonts w:cs="Arial"/>
          <w:szCs w:val="24"/>
        </w:rPr>
      </w:pPr>
      <w:r w:rsidRPr="003D54DD">
        <w:rPr>
          <w:rFonts w:cs="Arial"/>
          <w:szCs w:val="24"/>
        </w:rPr>
        <w:t>Persistencia en los acuerdos de colaboración actuales con Gureak, Amica, etc.</w:t>
      </w:r>
    </w:p>
    <w:p w:rsidR="00324BB0" w:rsidRPr="003D54DD" w:rsidRDefault="00324BB0" w:rsidP="00670A7C">
      <w:pPr>
        <w:pStyle w:val="Prrafodelista"/>
        <w:ind w:left="348"/>
        <w:jc w:val="both"/>
        <w:rPr>
          <w:rFonts w:cs="Arial"/>
          <w:szCs w:val="24"/>
        </w:rPr>
      </w:pPr>
    </w:p>
    <w:p w:rsidR="00324BB0" w:rsidRPr="003D54DD" w:rsidRDefault="00324BB0" w:rsidP="00C545F0">
      <w:pPr>
        <w:numPr>
          <w:ilvl w:val="0"/>
          <w:numId w:val="4"/>
        </w:numPr>
        <w:jc w:val="both"/>
        <w:rPr>
          <w:rFonts w:cs="Arial"/>
          <w:szCs w:val="24"/>
        </w:rPr>
      </w:pPr>
      <w:r w:rsidRPr="003D54DD">
        <w:rPr>
          <w:rFonts w:cs="Arial"/>
          <w:szCs w:val="24"/>
        </w:rPr>
        <w:t>Continuidad con la política de acuerdos de gestión o colaboración con otras lavanderías externas así como potenciación de Flisa Consulting tanto a nivel nacional como internacional.</w:t>
      </w:r>
    </w:p>
    <w:p w:rsidR="00324BB0" w:rsidRPr="003D54DD" w:rsidRDefault="00324BB0" w:rsidP="00670A7C">
      <w:pPr>
        <w:tabs>
          <w:tab w:val="left" w:pos="1470"/>
        </w:tabs>
        <w:jc w:val="both"/>
        <w:rPr>
          <w:rFonts w:cs="Arial"/>
          <w:b/>
          <w:szCs w:val="24"/>
        </w:rPr>
      </w:pPr>
    </w:p>
    <w:p w:rsidR="00324BB0" w:rsidRPr="003D54DD" w:rsidRDefault="00324BB0" w:rsidP="00670A7C">
      <w:pPr>
        <w:numPr>
          <w:ilvl w:val="0"/>
          <w:numId w:val="16"/>
        </w:numPr>
        <w:ind w:left="360"/>
        <w:jc w:val="both"/>
        <w:rPr>
          <w:rFonts w:cs="Arial"/>
          <w:szCs w:val="24"/>
        </w:rPr>
      </w:pPr>
      <w:r w:rsidRPr="003D54DD">
        <w:rPr>
          <w:szCs w:val="24"/>
          <w:u w:val="single"/>
        </w:rPr>
        <w:t>Diversificación</w:t>
      </w:r>
      <w:r w:rsidRPr="003D54DD">
        <w:rPr>
          <w:rFonts w:cs="Arial"/>
          <w:szCs w:val="24"/>
        </w:rPr>
        <w:t>: Flisa continuará evolucionando su servicio para seguir dando soluciones más completas a sus clientes y anticipándose en responder todas sus necesidades. Destacan los servicios de Housekeeping (Camareras de piso), Amenities (productos de cortesía o bienvenida), Tejido sin tejer, y la consolidación de otros proyectos puestos en marcha antes del 2012 (uniformidad laboral y línea socio sanitaria).</w:t>
      </w:r>
    </w:p>
    <w:p w:rsidR="00324BB0" w:rsidRPr="003D54DD" w:rsidRDefault="00324BB0" w:rsidP="00324BB0">
      <w:pPr>
        <w:jc w:val="both"/>
        <w:rPr>
          <w:rFonts w:cs="Arial"/>
          <w:b/>
          <w:szCs w:val="24"/>
          <w:u w:val="single"/>
        </w:rPr>
      </w:pPr>
    </w:p>
    <w:p w:rsidR="00324BB0" w:rsidRPr="003D54DD" w:rsidRDefault="00324BB0" w:rsidP="00324BB0">
      <w:pPr>
        <w:jc w:val="both"/>
        <w:rPr>
          <w:rFonts w:cs="Arial"/>
          <w:szCs w:val="24"/>
          <w:u w:val="single"/>
        </w:rPr>
      </w:pPr>
      <w:r w:rsidRPr="003D54DD">
        <w:rPr>
          <w:rFonts w:cs="Arial"/>
          <w:szCs w:val="24"/>
          <w:u w:val="single"/>
        </w:rPr>
        <w:t>AUTOMOCIÓN Y SUBCONTRATACIÓN INDUSTRIAL</w:t>
      </w:r>
    </w:p>
    <w:p w:rsidR="00324BB0" w:rsidRPr="003D54DD" w:rsidRDefault="00324BB0" w:rsidP="00324BB0">
      <w:pPr>
        <w:jc w:val="both"/>
        <w:rPr>
          <w:rFonts w:cs="Arial"/>
          <w:szCs w:val="24"/>
        </w:rPr>
      </w:pPr>
    </w:p>
    <w:p w:rsidR="00324BB0" w:rsidRPr="003D54DD" w:rsidRDefault="00324BB0" w:rsidP="00324BB0">
      <w:pPr>
        <w:jc w:val="both"/>
        <w:rPr>
          <w:rFonts w:cs="Arial"/>
          <w:szCs w:val="24"/>
        </w:rPr>
      </w:pPr>
      <w:r w:rsidRPr="003D54DD">
        <w:rPr>
          <w:rFonts w:cs="Arial"/>
          <w:szCs w:val="24"/>
        </w:rPr>
        <w:t>Durante el ejercicio 2015 MLV se centrará en consolidar su fuerte posición como proveedor logístico de Ford. No obstante, el crecimiento se ralentizará con respecto al experimentado en el ejercicio 2014 que, no obstante, no impedirá la creación de nuevos puestos de trabajo para personas con discapacidad, aunque a menor ritmo. En todo caso, el 2015 es un año de lanzamiento de un nuevo modelo de Ford, con lo que MLV deberá nuevamente enfrentarse a los costes derivados del lanzamiento así como a la gestión de personal de la manera más eficaz posible.</w:t>
      </w:r>
    </w:p>
    <w:p w:rsidR="00324BB0" w:rsidRPr="003D54DD" w:rsidRDefault="00324BB0" w:rsidP="00324BB0">
      <w:pPr>
        <w:jc w:val="both"/>
        <w:rPr>
          <w:rFonts w:cs="Arial"/>
          <w:szCs w:val="24"/>
        </w:rPr>
      </w:pPr>
    </w:p>
    <w:p w:rsidR="00324BB0" w:rsidRPr="003D54DD" w:rsidRDefault="00324BB0" w:rsidP="00324BB0">
      <w:pPr>
        <w:jc w:val="both"/>
        <w:rPr>
          <w:rFonts w:cs="Arial"/>
          <w:szCs w:val="24"/>
        </w:rPr>
      </w:pPr>
      <w:r w:rsidRPr="003D54DD">
        <w:rPr>
          <w:rFonts w:cs="Arial"/>
          <w:szCs w:val="24"/>
        </w:rPr>
        <w:t xml:space="preserve">Por su parte, FSI espera que su actividad crezca en 2015 apoyándose para ello en la consolidación de sus clientes, en la generación de nuevos proyectos con clientes actuales y potenciales, y en la diversificación de su cartera fuera del sector de automoción y del ámbito territorial de la Comunidad Valenciana, destacando al respecto la reciente constitución de una sociedad para operar en Aragón y tratar de replicar en esta comunidad autónoma el modelo que se tiene con Ford en Valencia. </w:t>
      </w:r>
    </w:p>
    <w:p w:rsidR="00324BB0" w:rsidRPr="003D54DD" w:rsidRDefault="00324BB0" w:rsidP="00324BB0">
      <w:pPr>
        <w:jc w:val="both"/>
        <w:rPr>
          <w:rFonts w:cs="Arial"/>
          <w:szCs w:val="24"/>
        </w:rPr>
      </w:pPr>
    </w:p>
    <w:p w:rsidR="00324BB0" w:rsidRPr="003D54DD" w:rsidRDefault="00324BB0" w:rsidP="00324BB0">
      <w:pPr>
        <w:jc w:val="both"/>
        <w:rPr>
          <w:rFonts w:cs="Arial"/>
          <w:szCs w:val="24"/>
          <w:u w:val="single"/>
        </w:rPr>
      </w:pPr>
      <w:r w:rsidRPr="003D54DD">
        <w:rPr>
          <w:rFonts w:cs="Arial"/>
          <w:szCs w:val="24"/>
          <w:u w:val="single"/>
        </w:rPr>
        <w:t xml:space="preserve">SECTOR </w:t>
      </w:r>
      <w:r w:rsidR="001B33EA">
        <w:rPr>
          <w:rFonts w:cs="Arial"/>
          <w:szCs w:val="24"/>
          <w:u w:val="single"/>
        </w:rPr>
        <w:t xml:space="preserve"> DE </w:t>
      </w:r>
      <w:r w:rsidRPr="003D54DD">
        <w:rPr>
          <w:rFonts w:cs="Arial"/>
          <w:szCs w:val="24"/>
          <w:u w:val="single"/>
        </w:rPr>
        <w:t>TELEMARKETING</w:t>
      </w:r>
    </w:p>
    <w:p w:rsidR="00324BB0" w:rsidRPr="003D54DD" w:rsidRDefault="00324BB0" w:rsidP="00324BB0">
      <w:pPr>
        <w:tabs>
          <w:tab w:val="left" w:pos="1470"/>
        </w:tabs>
        <w:jc w:val="both"/>
        <w:rPr>
          <w:rFonts w:cs="Arial"/>
          <w:szCs w:val="24"/>
        </w:rPr>
      </w:pPr>
    </w:p>
    <w:p w:rsidR="00324BB0" w:rsidRPr="003D54DD" w:rsidRDefault="00324BB0" w:rsidP="00324BB0">
      <w:pPr>
        <w:tabs>
          <w:tab w:val="left" w:pos="1470"/>
        </w:tabs>
        <w:jc w:val="both"/>
        <w:rPr>
          <w:rFonts w:cs="Arial"/>
          <w:szCs w:val="24"/>
        </w:rPr>
      </w:pPr>
      <w:r w:rsidRPr="003D54DD">
        <w:rPr>
          <w:rFonts w:cs="Arial"/>
          <w:szCs w:val="24"/>
        </w:rPr>
        <w:t>En las empresas del sector de telemarketing se apuesta por la calidad, la adecuación tecnológica y la formación de sus recursos para el mantenimiento de los clientes actuales y el crecimiento en sectores donde actualmente a penas se tiene presencia.</w:t>
      </w:r>
    </w:p>
    <w:p w:rsidR="00324BB0" w:rsidRPr="003D54DD" w:rsidRDefault="00324BB0" w:rsidP="00324BB0">
      <w:pPr>
        <w:tabs>
          <w:tab w:val="left" w:pos="1470"/>
        </w:tabs>
        <w:jc w:val="both"/>
        <w:rPr>
          <w:rFonts w:cs="Arial"/>
          <w:szCs w:val="24"/>
        </w:rPr>
      </w:pPr>
    </w:p>
    <w:p w:rsidR="00324BB0" w:rsidRPr="003D54DD" w:rsidRDefault="00324BB0" w:rsidP="00324BB0">
      <w:pPr>
        <w:tabs>
          <w:tab w:val="left" w:pos="1470"/>
        </w:tabs>
        <w:jc w:val="both"/>
        <w:rPr>
          <w:rFonts w:cs="Arial"/>
          <w:szCs w:val="24"/>
        </w:rPr>
      </w:pPr>
      <w:r w:rsidRPr="003D54DD">
        <w:rPr>
          <w:rFonts w:cs="Arial"/>
          <w:szCs w:val="24"/>
        </w:rPr>
        <w:t>Asimismo, la búsqueda del óptimo dimensionamiento productivo permitirá contener la caída de los márgenes de sus proyectos, compensando en parte los menores precios de los servicios prestados.</w:t>
      </w:r>
    </w:p>
    <w:p w:rsidR="00324BB0" w:rsidRPr="003D54DD" w:rsidRDefault="00324BB0" w:rsidP="00324BB0">
      <w:pPr>
        <w:tabs>
          <w:tab w:val="left" w:pos="1470"/>
        </w:tabs>
        <w:jc w:val="both"/>
        <w:rPr>
          <w:rFonts w:cs="Arial"/>
          <w:szCs w:val="24"/>
        </w:rPr>
      </w:pPr>
    </w:p>
    <w:p w:rsidR="00324BB0" w:rsidRPr="003D54DD" w:rsidRDefault="00324BB0" w:rsidP="00324BB0">
      <w:pPr>
        <w:jc w:val="both"/>
        <w:rPr>
          <w:rFonts w:cs="Arial"/>
          <w:iCs/>
          <w:szCs w:val="24"/>
        </w:rPr>
      </w:pPr>
      <w:r w:rsidRPr="003D54DD">
        <w:rPr>
          <w:rFonts w:cs="Arial"/>
          <w:iCs/>
          <w:szCs w:val="24"/>
        </w:rPr>
        <w:t xml:space="preserve">Las principales amenazas del área a los que se tendrá que hacer frente en el próximo año son la concentración de la facturación de </w:t>
      </w:r>
      <w:r w:rsidRPr="003D54DD">
        <w:rPr>
          <w:rFonts w:cs="Arial"/>
          <w:szCs w:val="24"/>
        </w:rPr>
        <w:t>teleoperación</w:t>
      </w:r>
      <w:r w:rsidRPr="003D54DD">
        <w:rPr>
          <w:rFonts w:cs="Arial"/>
          <w:iCs/>
          <w:szCs w:val="24"/>
        </w:rPr>
        <w:t xml:space="preserve"> en pocos clientes, la prevalencia del factor económico en la adjudicación de servicios, el intrusismo en el sector del Contact Center y la actual normativa laboral que implica un incremento del pasivo laboral en casos de finalización de servicios. </w:t>
      </w:r>
    </w:p>
    <w:p w:rsidR="00324BB0" w:rsidRPr="003D54DD" w:rsidRDefault="00324BB0" w:rsidP="00324BB0">
      <w:pPr>
        <w:jc w:val="both"/>
        <w:rPr>
          <w:rFonts w:cs="Arial"/>
          <w:iCs/>
          <w:szCs w:val="24"/>
        </w:rPr>
      </w:pPr>
    </w:p>
    <w:p w:rsidR="00324BB0" w:rsidRPr="003D54DD" w:rsidRDefault="00324BB0" w:rsidP="00324BB0">
      <w:pPr>
        <w:jc w:val="both"/>
        <w:rPr>
          <w:rFonts w:cs="Arial"/>
          <w:iCs/>
          <w:szCs w:val="24"/>
        </w:rPr>
      </w:pPr>
      <w:r w:rsidRPr="003D54DD">
        <w:rPr>
          <w:rFonts w:cs="Arial"/>
          <w:iCs/>
          <w:szCs w:val="24"/>
        </w:rPr>
        <w:lastRenderedPageBreak/>
        <w:t xml:space="preserve">Al respecto, comentar que </w:t>
      </w:r>
      <w:r w:rsidRPr="003D54DD">
        <w:rPr>
          <w:rFonts w:cs="Arial"/>
          <w:szCs w:val="24"/>
        </w:rPr>
        <w:t>Sertel se encuentra inmersa en el proceso de licitación de los servicios que presta para su principal cliente Segurcaixa Adeslas</w:t>
      </w:r>
      <w:r w:rsidRPr="003D54DD">
        <w:rPr>
          <w:rFonts w:cs="Arial"/>
          <w:b/>
          <w:szCs w:val="24"/>
        </w:rPr>
        <w:t xml:space="preserve"> </w:t>
      </w:r>
      <w:r w:rsidRPr="003D54DD">
        <w:rPr>
          <w:rFonts w:cs="Arial"/>
          <w:szCs w:val="24"/>
        </w:rPr>
        <w:t xml:space="preserve">y, teniendo en cuenta las condiciones de licitación, se ha estimado una importante reducción del volumen y rentabilidad con este cliente para las proyecciones de 2015. </w:t>
      </w:r>
    </w:p>
    <w:p w:rsidR="00324BB0" w:rsidRPr="003D54DD" w:rsidRDefault="00324BB0" w:rsidP="00324BB0">
      <w:pPr>
        <w:jc w:val="both"/>
        <w:rPr>
          <w:rFonts w:cs="Arial"/>
          <w:b/>
          <w:szCs w:val="24"/>
          <w:u w:val="single"/>
        </w:rPr>
      </w:pPr>
    </w:p>
    <w:p w:rsidR="00324BB0" w:rsidRPr="003D54DD" w:rsidRDefault="00324BB0" w:rsidP="00324BB0">
      <w:pPr>
        <w:jc w:val="both"/>
        <w:rPr>
          <w:rFonts w:cs="Arial"/>
          <w:szCs w:val="24"/>
          <w:u w:val="single"/>
        </w:rPr>
      </w:pPr>
      <w:r w:rsidRPr="003D54DD">
        <w:rPr>
          <w:rFonts w:cs="Arial"/>
          <w:szCs w:val="24"/>
          <w:u w:val="single"/>
        </w:rPr>
        <w:t>GALENAS</w:t>
      </w:r>
    </w:p>
    <w:p w:rsidR="00324BB0" w:rsidRPr="003D54DD" w:rsidRDefault="00324BB0" w:rsidP="00324BB0">
      <w:pPr>
        <w:jc w:val="both"/>
        <w:rPr>
          <w:rFonts w:cs="Arial"/>
          <w:szCs w:val="24"/>
        </w:rPr>
      </w:pPr>
    </w:p>
    <w:p w:rsidR="00324BB0" w:rsidRPr="003D54DD" w:rsidRDefault="00324BB0" w:rsidP="00324BB0">
      <w:pPr>
        <w:jc w:val="both"/>
        <w:rPr>
          <w:rFonts w:cs="Arial"/>
          <w:szCs w:val="24"/>
        </w:rPr>
      </w:pPr>
      <w:r w:rsidRPr="003D54DD">
        <w:rPr>
          <w:rFonts w:cs="Arial"/>
          <w:szCs w:val="24"/>
        </w:rPr>
        <w:t xml:space="preserve">En la división de tiendas se continúa apostando por potenciar las ventas rentables mediante negocios que </w:t>
      </w:r>
      <w:r w:rsidR="001B33EA">
        <w:rPr>
          <w:rFonts w:cs="Arial"/>
          <w:szCs w:val="24"/>
        </w:rPr>
        <w:t>aporten</w:t>
      </w:r>
      <w:r w:rsidRPr="003D54DD">
        <w:rPr>
          <w:rFonts w:cs="Arial"/>
          <w:szCs w:val="24"/>
        </w:rPr>
        <w:t xml:space="preserve"> un margen comercial suficiente, tales como en el sector Travel Retail o en los supermercados de proximidad. El crecimiento en 2015 tendrá su origen en las nuevas aperturas, esperando alcanzar un total de 6 en el ejercicio, siendo una de ellas un supermercado de proximidad. Por otro lado, se prevé el cierre de 4 tiendas.</w:t>
      </w:r>
    </w:p>
    <w:p w:rsidR="00324BB0" w:rsidRPr="003D54DD" w:rsidRDefault="00324BB0" w:rsidP="00324BB0">
      <w:pPr>
        <w:jc w:val="both"/>
        <w:rPr>
          <w:rFonts w:cs="Arial"/>
          <w:szCs w:val="24"/>
        </w:rPr>
      </w:pPr>
    </w:p>
    <w:p w:rsidR="00324BB0" w:rsidRPr="003D54DD" w:rsidRDefault="00324BB0" w:rsidP="00324BB0">
      <w:pPr>
        <w:jc w:val="both"/>
        <w:rPr>
          <w:rFonts w:cs="Arial"/>
          <w:szCs w:val="24"/>
        </w:rPr>
      </w:pPr>
      <w:r w:rsidRPr="003D54DD">
        <w:rPr>
          <w:rFonts w:cs="Arial"/>
          <w:szCs w:val="24"/>
        </w:rPr>
        <w:t>Respecto a la división de Empresa 360º, se plantea un sostenimiento de la cifra de ventas y el mantenimiento de los márgenes comerciales.</w:t>
      </w:r>
    </w:p>
    <w:p w:rsidR="00324BB0" w:rsidRPr="003D54DD" w:rsidRDefault="00324BB0" w:rsidP="00324BB0">
      <w:pPr>
        <w:ind w:left="360"/>
        <w:jc w:val="both"/>
        <w:rPr>
          <w:rFonts w:cs="Arial"/>
          <w:szCs w:val="24"/>
        </w:rPr>
      </w:pPr>
    </w:p>
    <w:p w:rsidR="00324BB0" w:rsidRPr="003D54DD" w:rsidRDefault="00324BB0" w:rsidP="00324BB0">
      <w:pPr>
        <w:jc w:val="both"/>
        <w:rPr>
          <w:rFonts w:eastAsia="Verdana" w:cs="Arial"/>
          <w:szCs w:val="24"/>
        </w:rPr>
      </w:pPr>
    </w:p>
    <w:p w:rsidR="00324BB0" w:rsidRPr="003D54DD" w:rsidRDefault="00324BB0" w:rsidP="00324BB0">
      <w:pPr>
        <w:jc w:val="both"/>
        <w:rPr>
          <w:rFonts w:eastAsia="Verdana" w:cs="Arial"/>
          <w:szCs w:val="24"/>
        </w:rPr>
      </w:pPr>
      <w:r w:rsidRPr="003D54DD">
        <w:rPr>
          <w:rFonts w:eastAsia="Verdana" w:cs="Arial"/>
          <w:szCs w:val="24"/>
        </w:rPr>
        <w:t>Por otro lado las sociedades que aportan mayor cifra de pérdidas de explotación (excluyendo la cabecera) son:</w:t>
      </w:r>
    </w:p>
    <w:p w:rsidR="00324BB0" w:rsidRPr="003D54DD" w:rsidRDefault="00324BB0" w:rsidP="00324BB0">
      <w:pPr>
        <w:ind w:left="360"/>
        <w:jc w:val="both"/>
        <w:rPr>
          <w:rFonts w:cs="Arial"/>
          <w:szCs w:val="24"/>
        </w:rPr>
      </w:pPr>
    </w:p>
    <w:p w:rsidR="00324BB0" w:rsidRPr="003D54DD" w:rsidRDefault="00324BB0" w:rsidP="00324BB0">
      <w:pPr>
        <w:jc w:val="both"/>
        <w:rPr>
          <w:rFonts w:cs="Arial"/>
          <w:szCs w:val="24"/>
          <w:u w:val="single"/>
        </w:rPr>
      </w:pPr>
      <w:r w:rsidRPr="003D54DD">
        <w:rPr>
          <w:rFonts w:cs="Arial"/>
          <w:szCs w:val="24"/>
          <w:u w:val="single"/>
        </w:rPr>
        <w:t>ÁREA ACCESIBILIDAD UNIVERSAL</w:t>
      </w:r>
    </w:p>
    <w:p w:rsidR="00324BB0" w:rsidRPr="003D54DD" w:rsidRDefault="00324BB0" w:rsidP="00324BB0">
      <w:pPr>
        <w:jc w:val="both"/>
        <w:rPr>
          <w:rFonts w:cs="Arial"/>
          <w:b/>
          <w:szCs w:val="24"/>
          <w:u w:val="single"/>
        </w:rPr>
      </w:pPr>
    </w:p>
    <w:p w:rsidR="00324BB0" w:rsidRPr="003D54DD" w:rsidRDefault="00324BB0" w:rsidP="00324BB0">
      <w:pPr>
        <w:jc w:val="both"/>
        <w:rPr>
          <w:rFonts w:cs="Arial"/>
          <w:szCs w:val="24"/>
        </w:rPr>
      </w:pPr>
      <w:r w:rsidRPr="003D54DD">
        <w:rPr>
          <w:rFonts w:cs="Arial"/>
          <w:szCs w:val="24"/>
        </w:rPr>
        <w:t>El área de Accesibilidad Universal se ha visto muy afectada por la crisis económica. Los recortes y la falta de inversiones en el sector público han originado una bajada de ventas en todas sus líneas de actividad. Por sociedades destaca lo siguiente:</w:t>
      </w:r>
    </w:p>
    <w:p w:rsidR="00324BB0" w:rsidRPr="003D54DD" w:rsidRDefault="00324BB0" w:rsidP="00324BB0">
      <w:pPr>
        <w:ind w:left="714"/>
        <w:jc w:val="both"/>
        <w:rPr>
          <w:rFonts w:cs="Arial"/>
          <w:szCs w:val="24"/>
        </w:rPr>
      </w:pPr>
    </w:p>
    <w:p w:rsidR="00324BB0" w:rsidRPr="003D54DD" w:rsidRDefault="00324BB0" w:rsidP="00670A7C">
      <w:pPr>
        <w:numPr>
          <w:ilvl w:val="0"/>
          <w:numId w:val="16"/>
        </w:numPr>
        <w:ind w:left="360"/>
        <w:jc w:val="both"/>
        <w:rPr>
          <w:rFonts w:cs="Arial"/>
          <w:szCs w:val="24"/>
        </w:rPr>
      </w:pPr>
      <w:r w:rsidRPr="003D54DD">
        <w:rPr>
          <w:szCs w:val="24"/>
          <w:u w:val="single"/>
        </w:rPr>
        <w:t>Fundosa</w:t>
      </w:r>
      <w:r w:rsidRPr="003D54DD">
        <w:rPr>
          <w:rFonts w:cs="Arial"/>
          <w:szCs w:val="24"/>
          <w:u w:val="single"/>
        </w:rPr>
        <w:t xml:space="preserve"> Accesibilidad y Caradap</w:t>
      </w:r>
      <w:r w:rsidRPr="003D54DD">
        <w:rPr>
          <w:rFonts w:cs="Arial"/>
          <w:szCs w:val="24"/>
        </w:rPr>
        <w:t>: Además del recorte de presupuestos públicos comentado, las dificultades en el desarrollo de la Ley de la Dependencia, la disminución de la renta disponible y el aumento del desempleo se han traducido en menores compras, horas de servicio y presión sobre los precios. El impacto ha sido particularmente importante en lo que se refiere a la accesibilidad al entorno construido, debido a la drástica caída que ha experimentado el sector de la construcción en general y el de la obra pública en particular. Los efectos de la crisis también han sido muy evidentes en el sector de la automoción. No obstante, para el 2015 se plantea, no solo la finalización del descenso continuado de sus ventas, sino un fuerte crecimiento para lo cual se apuesta, entre otros, por las buenas expectativas del proyecto internacional.</w:t>
      </w:r>
    </w:p>
    <w:p w:rsidR="00324BB0" w:rsidRPr="003D54DD" w:rsidRDefault="00324BB0" w:rsidP="00324BB0">
      <w:pPr>
        <w:ind w:left="714"/>
        <w:jc w:val="both"/>
        <w:rPr>
          <w:rFonts w:cs="Arial"/>
          <w:szCs w:val="24"/>
        </w:rPr>
      </w:pPr>
    </w:p>
    <w:p w:rsidR="00324BB0" w:rsidRPr="003D54DD" w:rsidRDefault="00324BB0" w:rsidP="00670A7C">
      <w:pPr>
        <w:numPr>
          <w:ilvl w:val="0"/>
          <w:numId w:val="16"/>
        </w:numPr>
        <w:ind w:left="360"/>
        <w:jc w:val="both"/>
        <w:rPr>
          <w:rFonts w:cs="Arial"/>
          <w:szCs w:val="24"/>
        </w:rPr>
      </w:pPr>
      <w:r w:rsidRPr="003D54DD">
        <w:rPr>
          <w:szCs w:val="24"/>
          <w:u w:val="single"/>
        </w:rPr>
        <w:t>Fundosa</w:t>
      </w:r>
      <w:r w:rsidRPr="003D54DD">
        <w:rPr>
          <w:rFonts w:cs="Arial"/>
          <w:szCs w:val="24"/>
          <w:u w:val="single"/>
        </w:rPr>
        <w:t xml:space="preserve"> Technosite</w:t>
      </w:r>
      <w:r w:rsidRPr="003D54DD">
        <w:rPr>
          <w:rFonts w:cs="Arial"/>
          <w:szCs w:val="24"/>
        </w:rPr>
        <w:t xml:space="preserve">: La crisis está influyendo en las prioridades de las empresas en materia de responsabilidad social corporativa, en un sentido que no favorece el desarrollo de negocio en un subsector tan especializado como es el de la accesibilidad TIC. Además, la captación de nuevos fondos para financiar la actividad de I+D+i se hace cada vez más difícil, pues la reducción del presupuesto destinado a financiar proyectos tecnológicos por parte de las Administraciones Públicas hace que las convocatorias tengan cada vez menores </w:t>
      </w:r>
      <w:r w:rsidRPr="003D54DD">
        <w:rPr>
          <w:rFonts w:cs="Arial"/>
          <w:szCs w:val="24"/>
        </w:rPr>
        <w:lastRenderedPageBreak/>
        <w:t xml:space="preserve">dotaciones y condiciones más onerosas. Para el 2015 se plantea un crecimiento de las ventas, también basado en parte en la proyección internacional de su actividad.   </w:t>
      </w:r>
    </w:p>
    <w:p w:rsidR="00324BB0" w:rsidRPr="003D54DD" w:rsidRDefault="00324BB0" w:rsidP="00324BB0">
      <w:pPr>
        <w:ind w:left="360"/>
        <w:jc w:val="both"/>
        <w:rPr>
          <w:rFonts w:cs="Arial"/>
          <w:szCs w:val="24"/>
        </w:rPr>
      </w:pPr>
    </w:p>
    <w:p w:rsidR="00324BB0" w:rsidRPr="003D54DD" w:rsidRDefault="00324BB0" w:rsidP="00670A7C">
      <w:pPr>
        <w:numPr>
          <w:ilvl w:val="0"/>
          <w:numId w:val="16"/>
        </w:numPr>
        <w:ind w:left="360"/>
        <w:jc w:val="both"/>
        <w:rPr>
          <w:rFonts w:cs="Arial"/>
          <w:szCs w:val="24"/>
        </w:rPr>
      </w:pPr>
      <w:r w:rsidRPr="003D54DD">
        <w:rPr>
          <w:rFonts w:cs="Arial"/>
          <w:szCs w:val="24"/>
          <w:u w:val="single"/>
        </w:rPr>
        <w:t>Fundosa Sport y Ocio</w:t>
      </w:r>
      <w:r w:rsidRPr="003D54DD">
        <w:rPr>
          <w:rFonts w:cs="Arial"/>
          <w:szCs w:val="24"/>
        </w:rPr>
        <w:t>: La mejora de las ventas y resultados planteados para el 2015 se basarán, en gran medida, en la puesta en marcha de un proyecto de dinamización de la actividad de pádel en el complejo deportivo Somontes.</w:t>
      </w:r>
    </w:p>
    <w:p w:rsidR="00324BB0" w:rsidRPr="003D54DD" w:rsidRDefault="00324BB0" w:rsidP="00324BB0">
      <w:pPr>
        <w:pStyle w:val="Prrafodelista"/>
        <w:jc w:val="both"/>
        <w:rPr>
          <w:rFonts w:cs="Arial"/>
          <w:szCs w:val="24"/>
        </w:rPr>
      </w:pPr>
    </w:p>
    <w:p w:rsidR="00324BB0" w:rsidRPr="003D54DD" w:rsidRDefault="00324BB0" w:rsidP="00324BB0">
      <w:pPr>
        <w:jc w:val="both"/>
        <w:rPr>
          <w:rFonts w:cs="Arial"/>
          <w:szCs w:val="24"/>
          <w:u w:val="single"/>
        </w:rPr>
      </w:pPr>
      <w:r w:rsidRPr="003D54DD">
        <w:rPr>
          <w:rFonts w:cs="Arial"/>
          <w:szCs w:val="24"/>
          <w:u w:val="single"/>
        </w:rPr>
        <w:t>ÁREA DE RECICLADOS</w:t>
      </w:r>
    </w:p>
    <w:p w:rsidR="00324BB0" w:rsidRPr="003D54DD" w:rsidRDefault="00324BB0" w:rsidP="00324BB0">
      <w:pPr>
        <w:jc w:val="both"/>
        <w:rPr>
          <w:rFonts w:cs="Arial"/>
          <w:szCs w:val="24"/>
        </w:rPr>
      </w:pPr>
    </w:p>
    <w:p w:rsidR="00324BB0" w:rsidRPr="003D54DD" w:rsidRDefault="00324BB0" w:rsidP="00324BB0">
      <w:pPr>
        <w:jc w:val="both"/>
        <w:rPr>
          <w:rFonts w:cs="Arial"/>
          <w:szCs w:val="24"/>
        </w:rPr>
      </w:pPr>
      <w:r w:rsidRPr="003D54DD">
        <w:rPr>
          <w:rFonts w:cs="Arial"/>
          <w:szCs w:val="24"/>
        </w:rPr>
        <w:t xml:space="preserve">Reciclalia continuará en 2015 con un importante volumen de pérdidas. No se espera que aumenten de manera relevante las ventas de aparatos eléctricos y electrónicos ni, por tanto, la disponibilidad de RAEE (Residuo de Aparatos Eléctricos y Electrónicos). No obstante, a pesar de la alta competencia para </w:t>
      </w:r>
      <w:r w:rsidR="001B33EA">
        <w:rPr>
          <w:rFonts w:cs="Arial"/>
          <w:szCs w:val="24"/>
        </w:rPr>
        <w:t>su</w:t>
      </w:r>
      <w:r w:rsidRPr="003D54DD">
        <w:rPr>
          <w:rFonts w:cs="Arial"/>
          <w:szCs w:val="24"/>
        </w:rPr>
        <w:t xml:space="preserve"> captación, no se ha previsto que los costes de recogida y transporte de RAEE para tener acceso al mismo se mantengan en los niveles tan </w:t>
      </w:r>
      <w:r w:rsidR="001B33EA">
        <w:rPr>
          <w:rFonts w:cs="Arial"/>
          <w:szCs w:val="24"/>
        </w:rPr>
        <w:t>elevados</w:t>
      </w:r>
      <w:r w:rsidRPr="003D54DD">
        <w:rPr>
          <w:rFonts w:cs="Arial"/>
          <w:szCs w:val="24"/>
        </w:rPr>
        <w:t xml:space="preserve"> de</w:t>
      </w:r>
      <w:r w:rsidR="001B33EA">
        <w:rPr>
          <w:rFonts w:cs="Arial"/>
          <w:szCs w:val="24"/>
        </w:rPr>
        <w:t xml:space="preserve"> meses anteriores</w:t>
      </w:r>
      <w:r w:rsidRPr="003D54DD">
        <w:rPr>
          <w:rFonts w:cs="Arial"/>
          <w:szCs w:val="24"/>
        </w:rPr>
        <w:t>. Por otro lado, y con efecto negativo, se ha previsto la regularización del valor de los activos de la compañía en 2015.</w:t>
      </w:r>
    </w:p>
    <w:p w:rsidR="00324BB0" w:rsidRPr="003D54DD" w:rsidRDefault="00324BB0" w:rsidP="00324BB0">
      <w:pPr>
        <w:jc w:val="both"/>
        <w:rPr>
          <w:rFonts w:cs="Arial"/>
          <w:szCs w:val="24"/>
        </w:rPr>
      </w:pPr>
    </w:p>
    <w:p w:rsidR="00324BB0" w:rsidRPr="003D54DD" w:rsidRDefault="00324BB0" w:rsidP="00324BB0">
      <w:pPr>
        <w:jc w:val="both"/>
        <w:rPr>
          <w:rFonts w:cs="Arial"/>
          <w:szCs w:val="24"/>
        </w:rPr>
      </w:pPr>
      <w:r w:rsidRPr="003D54DD">
        <w:rPr>
          <w:rFonts w:cs="Arial"/>
          <w:szCs w:val="24"/>
        </w:rPr>
        <w:t xml:space="preserve">Columbia espera aumentar su rentabilidad en 2015 y </w:t>
      </w:r>
      <w:r w:rsidR="001B33EA">
        <w:rPr>
          <w:rFonts w:cs="Arial"/>
          <w:szCs w:val="24"/>
        </w:rPr>
        <w:t>disminuir</w:t>
      </w:r>
      <w:r w:rsidRPr="003D54DD">
        <w:rPr>
          <w:rFonts w:cs="Arial"/>
          <w:szCs w:val="24"/>
        </w:rPr>
        <w:t xml:space="preserve"> de manera relevante </w:t>
      </w:r>
      <w:r w:rsidR="001B33EA">
        <w:rPr>
          <w:rFonts w:cs="Arial"/>
          <w:szCs w:val="24"/>
        </w:rPr>
        <w:t>las pérdidas estimadas para el</w:t>
      </w:r>
      <w:r w:rsidRPr="003D54DD">
        <w:rPr>
          <w:rFonts w:cs="Arial"/>
          <w:szCs w:val="24"/>
        </w:rPr>
        <w:t xml:space="preserve"> 2014. Las medidas que se están tomando por la sociedad van encaminadas a aumentar las ventas, mejorar el margen bruto y reducir el coste de personal. Con el volumen de ventas actual la plantilla se encuentra sobredimensionada, con lo que se ha puesto en marcha un ERTE que aplica desde el mes de agosto de 2014. Por el lado de las ventas, el esfuerzo y objetivos para el 2015 se centran en:</w:t>
      </w:r>
    </w:p>
    <w:p w:rsidR="00324BB0" w:rsidRPr="003D54DD" w:rsidRDefault="00324BB0" w:rsidP="00324BB0">
      <w:pPr>
        <w:jc w:val="both"/>
        <w:rPr>
          <w:rFonts w:cs="Arial"/>
          <w:szCs w:val="24"/>
        </w:rPr>
      </w:pPr>
    </w:p>
    <w:p w:rsidR="00324BB0" w:rsidRPr="003D54DD" w:rsidRDefault="00324BB0" w:rsidP="00670A7C">
      <w:pPr>
        <w:numPr>
          <w:ilvl w:val="0"/>
          <w:numId w:val="16"/>
        </w:numPr>
        <w:ind w:left="360"/>
        <w:jc w:val="both"/>
        <w:rPr>
          <w:rFonts w:cs="Arial"/>
          <w:szCs w:val="24"/>
        </w:rPr>
      </w:pPr>
      <w:r w:rsidRPr="003D54DD">
        <w:rPr>
          <w:rFonts w:cs="Arial"/>
          <w:szCs w:val="24"/>
        </w:rPr>
        <w:t>Reorganización comercial: Se modifica la estrategia de venta de productos hacia la venta de servicios. Además, el esfuerzo comercial se dirige a grandes clientes con un importante consumo.</w:t>
      </w:r>
    </w:p>
    <w:p w:rsidR="00670A7C" w:rsidRPr="003D54DD" w:rsidRDefault="00670A7C" w:rsidP="00670A7C">
      <w:pPr>
        <w:ind w:left="360"/>
        <w:jc w:val="both"/>
        <w:rPr>
          <w:rFonts w:cs="Arial"/>
          <w:szCs w:val="24"/>
        </w:rPr>
      </w:pPr>
    </w:p>
    <w:p w:rsidR="00324BB0" w:rsidRPr="003D54DD" w:rsidRDefault="00324BB0" w:rsidP="00670A7C">
      <w:pPr>
        <w:numPr>
          <w:ilvl w:val="0"/>
          <w:numId w:val="16"/>
        </w:numPr>
        <w:ind w:left="360"/>
        <w:jc w:val="both"/>
        <w:rPr>
          <w:rFonts w:cs="Arial"/>
          <w:szCs w:val="24"/>
        </w:rPr>
      </w:pPr>
      <w:r w:rsidRPr="003D54DD">
        <w:rPr>
          <w:rFonts w:cs="Arial"/>
          <w:szCs w:val="24"/>
        </w:rPr>
        <w:t>Se buscará cerrar acuerdos de colaboración con empresas de éxito del sector extranjeras, que aporten conocimiento e incluso capital.</w:t>
      </w:r>
    </w:p>
    <w:p w:rsidR="00670A7C" w:rsidRPr="003D54DD" w:rsidRDefault="00670A7C" w:rsidP="00670A7C">
      <w:pPr>
        <w:ind w:left="360"/>
        <w:jc w:val="both"/>
        <w:rPr>
          <w:rFonts w:cs="Arial"/>
          <w:szCs w:val="24"/>
        </w:rPr>
      </w:pPr>
    </w:p>
    <w:p w:rsidR="00324BB0" w:rsidRPr="003D54DD" w:rsidRDefault="00324BB0" w:rsidP="00670A7C">
      <w:pPr>
        <w:numPr>
          <w:ilvl w:val="0"/>
          <w:numId w:val="16"/>
        </w:numPr>
        <w:ind w:left="360"/>
        <w:jc w:val="both"/>
        <w:rPr>
          <w:rFonts w:cs="Arial"/>
          <w:szCs w:val="24"/>
        </w:rPr>
      </w:pPr>
      <w:r w:rsidRPr="003D54DD">
        <w:rPr>
          <w:rFonts w:cs="Arial"/>
          <w:szCs w:val="24"/>
        </w:rPr>
        <w:t>Se tiene previsto relanzar el proyecto de franquicias, pero diseñando un modelo más atractivo y con unos costes más bajos y flexibles.</w:t>
      </w:r>
    </w:p>
    <w:p w:rsidR="000932CC" w:rsidRPr="000932CC" w:rsidRDefault="000932CC" w:rsidP="000932CC">
      <w:pPr>
        <w:pStyle w:val="Sangradetextonormal"/>
        <w:ind w:left="360" w:firstLine="0"/>
        <w:jc w:val="both"/>
        <w:outlineLvl w:val="2"/>
        <w:rPr>
          <w:rFonts w:cs="Arial"/>
          <w:b/>
          <w:color w:val="005C54"/>
          <w:szCs w:val="24"/>
        </w:rPr>
      </w:pPr>
    </w:p>
    <w:p w:rsidR="000932CC" w:rsidRPr="000932CC" w:rsidRDefault="000932CC" w:rsidP="000932CC">
      <w:pPr>
        <w:pStyle w:val="Sangradetextonormal"/>
        <w:ind w:left="360" w:firstLine="0"/>
        <w:jc w:val="both"/>
        <w:outlineLvl w:val="2"/>
        <w:rPr>
          <w:rFonts w:cs="Arial"/>
          <w:b/>
          <w:color w:val="005C54"/>
          <w:szCs w:val="24"/>
        </w:rPr>
      </w:pPr>
    </w:p>
    <w:p w:rsidR="008D7820" w:rsidRPr="00BF7448" w:rsidRDefault="008D7820" w:rsidP="00750EB7">
      <w:pPr>
        <w:pStyle w:val="Sangradetextonormal"/>
        <w:numPr>
          <w:ilvl w:val="0"/>
          <w:numId w:val="14"/>
        </w:numPr>
        <w:jc w:val="both"/>
        <w:outlineLvl w:val="2"/>
        <w:rPr>
          <w:rFonts w:cs="Arial"/>
          <w:b/>
          <w:color w:val="016FB8"/>
          <w:szCs w:val="24"/>
        </w:rPr>
      </w:pPr>
      <w:bookmarkStart w:id="32" w:name="_Toc403984316"/>
      <w:r w:rsidRPr="00BF7448">
        <w:rPr>
          <w:rFonts w:cs="Arial"/>
          <w:b/>
          <w:color w:val="016FB8"/>
          <w:szCs w:val="24"/>
          <w:u w:val="single"/>
        </w:rPr>
        <w:t>Resultado final</w:t>
      </w:r>
      <w:r w:rsidR="00501208" w:rsidRPr="00BF7448">
        <w:rPr>
          <w:rFonts w:cs="Arial"/>
          <w:b/>
          <w:color w:val="016FB8"/>
          <w:szCs w:val="24"/>
          <w:u w:val="single"/>
        </w:rPr>
        <w:t xml:space="preserve"> (sociedad dominante)</w:t>
      </w:r>
      <w:bookmarkEnd w:id="32"/>
    </w:p>
    <w:p w:rsidR="00501208" w:rsidRPr="003D54DD" w:rsidRDefault="00501208" w:rsidP="00214621">
      <w:pPr>
        <w:ind w:left="360"/>
        <w:jc w:val="both"/>
        <w:rPr>
          <w:rFonts w:cs="Arial"/>
        </w:rPr>
      </w:pPr>
    </w:p>
    <w:p w:rsidR="00692B5D" w:rsidRPr="003D54DD" w:rsidRDefault="00692B5D" w:rsidP="00692B5D">
      <w:pPr>
        <w:jc w:val="both"/>
        <w:rPr>
          <w:rFonts w:cs="Arial"/>
          <w:strike/>
          <w:szCs w:val="24"/>
        </w:rPr>
      </w:pPr>
      <w:bookmarkStart w:id="33" w:name="_Toc213647537"/>
      <w:r w:rsidRPr="003D54DD">
        <w:rPr>
          <w:rFonts w:cs="Arial"/>
          <w:szCs w:val="24"/>
        </w:rPr>
        <w:t>El resultado final estimado en el ejercicio 201</w:t>
      </w:r>
      <w:r w:rsidR="002E4E90" w:rsidRPr="003D54DD">
        <w:rPr>
          <w:rFonts w:cs="Arial"/>
          <w:szCs w:val="24"/>
        </w:rPr>
        <w:t>4</w:t>
      </w:r>
      <w:r w:rsidRPr="003D54DD">
        <w:rPr>
          <w:rFonts w:cs="Arial"/>
          <w:szCs w:val="24"/>
        </w:rPr>
        <w:t xml:space="preserve"> del Grupo Fundosa es de pérdidas por </w:t>
      </w:r>
      <w:r w:rsidR="002E4E90" w:rsidRPr="003D54DD">
        <w:rPr>
          <w:rFonts w:cs="Arial"/>
          <w:szCs w:val="24"/>
        </w:rPr>
        <w:t>2,3</w:t>
      </w:r>
      <w:r w:rsidRPr="003D54DD">
        <w:rPr>
          <w:rFonts w:cs="Arial"/>
          <w:szCs w:val="24"/>
        </w:rPr>
        <w:t xml:space="preserve"> millones de euros, </w:t>
      </w:r>
      <w:r w:rsidR="002E4E90" w:rsidRPr="003D54DD">
        <w:rPr>
          <w:rFonts w:cs="Arial"/>
          <w:szCs w:val="24"/>
        </w:rPr>
        <w:t>mejorando ligeramente el resultado recogido en el Plan de Actuación 2014</w:t>
      </w:r>
      <w:r w:rsidRPr="003D54DD">
        <w:rPr>
          <w:rFonts w:cs="Arial"/>
          <w:szCs w:val="24"/>
        </w:rPr>
        <w:t xml:space="preserve"> y </w:t>
      </w:r>
      <w:r w:rsidR="002E4E90" w:rsidRPr="003D54DD">
        <w:rPr>
          <w:rFonts w:cs="Arial"/>
          <w:szCs w:val="24"/>
        </w:rPr>
        <w:t>empeorando el resultado positivo de 2013 de 0,1 millones</w:t>
      </w:r>
      <w:r w:rsidRPr="003D54DD">
        <w:rPr>
          <w:rFonts w:cs="Arial"/>
          <w:szCs w:val="24"/>
        </w:rPr>
        <w:t>.</w:t>
      </w:r>
      <w:r w:rsidRPr="003D54DD">
        <w:rPr>
          <w:rFonts w:cs="Arial"/>
          <w:strike/>
          <w:szCs w:val="24"/>
        </w:rPr>
        <w:t xml:space="preserve"> </w:t>
      </w:r>
    </w:p>
    <w:p w:rsidR="00692B5D" w:rsidRPr="003D54DD" w:rsidRDefault="00692B5D" w:rsidP="00692B5D">
      <w:pPr>
        <w:jc w:val="both"/>
        <w:rPr>
          <w:rFonts w:cs="Arial"/>
          <w:szCs w:val="24"/>
        </w:rPr>
      </w:pPr>
    </w:p>
    <w:p w:rsidR="00692B5D" w:rsidRPr="003D54DD" w:rsidRDefault="00692B5D" w:rsidP="00692B5D">
      <w:pPr>
        <w:jc w:val="both"/>
        <w:rPr>
          <w:rFonts w:cs="Arial"/>
          <w:szCs w:val="24"/>
        </w:rPr>
      </w:pPr>
      <w:r w:rsidRPr="003D54DD">
        <w:rPr>
          <w:rFonts w:cs="Arial"/>
          <w:szCs w:val="24"/>
        </w:rPr>
        <w:t>A continuación se detalla la cifra estimada de 201</w:t>
      </w:r>
      <w:r w:rsidR="002E4E90" w:rsidRPr="003D54DD">
        <w:rPr>
          <w:rFonts w:cs="Arial"/>
          <w:szCs w:val="24"/>
        </w:rPr>
        <w:t>4</w:t>
      </w:r>
      <w:r w:rsidRPr="003D54DD">
        <w:rPr>
          <w:rFonts w:cs="Arial"/>
          <w:szCs w:val="24"/>
        </w:rPr>
        <w:t xml:space="preserve"> en función de las aportaciones a resultados previstas de las empresas filiales y participadas:</w:t>
      </w:r>
    </w:p>
    <w:p w:rsidR="00692B5D" w:rsidRPr="003D54DD" w:rsidRDefault="00692B5D" w:rsidP="00692B5D">
      <w:pPr>
        <w:ind w:left="360"/>
        <w:jc w:val="both"/>
        <w:rPr>
          <w:rFonts w:cs="Arial"/>
          <w:szCs w:val="24"/>
        </w:rPr>
      </w:pPr>
    </w:p>
    <w:p w:rsidR="00692B5D" w:rsidRPr="003D54DD" w:rsidRDefault="00692B5D" w:rsidP="00865401">
      <w:pPr>
        <w:pStyle w:val="Textoindependiente"/>
        <w:numPr>
          <w:ilvl w:val="0"/>
          <w:numId w:val="15"/>
        </w:numPr>
        <w:tabs>
          <w:tab w:val="clear" w:pos="720"/>
          <w:tab w:val="num" w:pos="360"/>
        </w:tabs>
        <w:ind w:left="360"/>
        <w:jc w:val="both"/>
        <w:rPr>
          <w:rFonts w:cs="Arial"/>
          <w:b w:val="0"/>
          <w:sz w:val="24"/>
          <w:szCs w:val="24"/>
        </w:rPr>
      </w:pPr>
      <w:r w:rsidRPr="003D54DD">
        <w:rPr>
          <w:rFonts w:cs="Arial"/>
          <w:b w:val="0"/>
          <w:sz w:val="24"/>
          <w:szCs w:val="24"/>
        </w:rPr>
        <w:t>Sociedades filiales: El resultado antes de impuestos estimado asciende a unas pérdidas de 3,</w:t>
      </w:r>
      <w:r w:rsidR="002E4E90" w:rsidRPr="003D54DD">
        <w:rPr>
          <w:rFonts w:cs="Arial"/>
          <w:b w:val="0"/>
          <w:sz w:val="24"/>
          <w:szCs w:val="24"/>
        </w:rPr>
        <w:t>6</w:t>
      </w:r>
      <w:r w:rsidRPr="003D54DD">
        <w:rPr>
          <w:rFonts w:cs="Arial"/>
          <w:b w:val="0"/>
          <w:sz w:val="24"/>
          <w:szCs w:val="24"/>
        </w:rPr>
        <w:t xml:space="preserve"> millones de euros, frente a unas pérdidas de </w:t>
      </w:r>
      <w:r w:rsidR="002E4E90" w:rsidRPr="003D54DD">
        <w:rPr>
          <w:rFonts w:cs="Arial"/>
          <w:b w:val="0"/>
          <w:sz w:val="24"/>
          <w:szCs w:val="24"/>
        </w:rPr>
        <w:t>4,2</w:t>
      </w:r>
      <w:r w:rsidRPr="003D54DD">
        <w:rPr>
          <w:rFonts w:cs="Arial"/>
          <w:b w:val="0"/>
          <w:sz w:val="24"/>
          <w:szCs w:val="24"/>
        </w:rPr>
        <w:t xml:space="preserve"> millones de euros previstas en el Plan de Actuación.</w:t>
      </w:r>
    </w:p>
    <w:p w:rsidR="00692B5D" w:rsidRPr="003D54DD" w:rsidRDefault="00692B5D" w:rsidP="00692B5D">
      <w:pPr>
        <w:ind w:left="360"/>
        <w:jc w:val="both"/>
        <w:rPr>
          <w:rFonts w:cs="Arial"/>
          <w:szCs w:val="24"/>
        </w:rPr>
      </w:pP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Sociedades participadas: Se prevé</w:t>
      </w:r>
      <w:r w:rsidR="002E4E90" w:rsidRPr="003D54DD">
        <w:rPr>
          <w:rFonts w:cs="Arial"/>
          <w:szCs w:val="24"/>
        </w:rPr>
        <w:t>n</w:t>
      </w:r>
      <w:r w:rsidRPr="003D54DD">
        <w:rPr>
          <w:rFonts w:cs="Arial"/>
          <w:szCs w:val="24"/>
        </w:rPr>
        <w:t xml:space="preserve"> un</w:t>
      </w:r>
      <w:r w:rsidR="002E4E90" w:rsidRPr="003D54DD">
        <w:rPr>
          <w:rFonts w:cs="Arial"/>
          <w:szCs w:val="24"/>
        </w:rPr>
        <w:t>as</w:t>
      </w:r>
      <w:r w:rsidRPr="003D54DD">
        <w:rPr>
          <w:rFonts w:cs="Arial"/>
          <w:szCs w:val="24"/>
        </w:rPr>
        <w:t xml:space="preserve"> </w:t>
      </w:r>
      <w:r w:rsidR="002E4E90" w:rsidRPr="003D54DD">
        <w:rPr>
          <w:rFonts w:cs="Arial"/>
          <w:szCs w:val="24"/>
        </w:rPr>
        <w:t>pérdidas</w:t>
      </w:r>
      <w:r w:rsidRPr="003D54DD">
        <w:rPr>
          <w:rFonts w:cs="Arial"/>
          <w:szCs w:val="24"/>
        </w:rPr>
        <w:t xml:space="preserve"> de 0,5 millones de euros. </w:t>
      </w:r>
    </w:p>
    <w:p w:rsidR="00692B5D" w:rsidRPr="003D54DD" w:rsidRDefault="00692B5D" w:rsidP="00692B5D">
      <w:pPr>
        <w:ind w:left="360"/>
        <w:jc w:val="both"/>
        <w:rPr>
          <w:rFonts w:cs="Arial"/>
          <w:szCs w:val="24"/>
        </w:rPr>
      </w:pP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El impuesto sobre beneficios asciende a 1,</w:t>
      </w:r>
      <w:r w:rsidR="002E4E90" w:rsidRPr="003D54DD">
        <w:rPr>
          <w:rFonts w:cs="Arial"/>
          <w:szCs w:val="24"/>
        </w:rPr>
        <w:t>7</w:t>
      </w:r>
      <w:r w:rsidRPr="003D54DD">
        <w:rPr>
          <w:rFonts w:cs="Arial"/>
          <w:szCs w:val="24"/>
        </w:rPr>
        <w:t xml:space="preserve"> millones de euros positivos.</w:t>
      </w:r>
    </w:p>
    <w:p w:rsidR="00692B5D" w:rsidRPr="003D54DD" w:rsidRDefault="00692B5D" w:rsidP="00692B5D">
      <w:pPr>
        <w:ind w:left="360"/>
        <w:jc w:val="both"/>
        <w:rPr>
          <w:rFonts w:cs="Arial"/>
          <w:szCs w:val="24"/>
        </w:rPr>
      </w:pP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El resultado final atribuido a socios externos se encuentra cercano al equilibrio</w:t>
      </w:r>
      <w:r w:rsidR="00D64988" w:rsidRPr="003D54DD">
        <w:rPr>
          <w:rFonts w:cs="Arial"/>
          <w:szCs w:val="24"/>
        </w:rPr>
        <w:t xml:space="preserve"> (-0,07 millones)</w:t>
      </w:r>
      <w:r w:rsidRPr="003D54DD">
        <w:rPr>
          <w:rFonts w:cs="Arial"/>
          <w:szCs w:val="24"/>
        </w:rPr>
        <w:t>.</w:t>
      </w:r>
    </w:p>
    <w:p w:rsidR="00692B5D" w:rsidRPr="003D54DD" w:rsidRDefault="00692B5D" w:rsidP="00692B5D">
      <w:pPr>
        <w:ind w:left="360"/>
        <w:jc w:val="both"/>
        <w:rPr>
          <w:rFonts w:cs="Arial"/>
          <w:szCs w:val="24"/>
        </w:rPr>
      </w:pPr>
    </w:p>
    <w:p w:rsidR="00692B5D" w:rsidRPr="003D54DD" w:rsidRDefault="00692B5D" w:rsidP="00692B5D">
      <w:pPr>
        <w:jc w:val="both"/>
        <w:rPr>
          <w:rFonts w:cs="Arial"/>
          <w:szCs w:val="24"/>
        </w:rPr>
      </w:pPr>
      <w:r w:rsidRPr="003D54DD">
        <w:rPr>
          <w:rFonts w:cs="Arial"/>
          <w:szCs w:val="24"/>
        </w:rPr>
        <w:t>Para el ejercicio 201</w:t>
      </w:r>
      <w:r w:rsidR="00D64988" w:rsidRPr="003D54DD">
        <w:rPr>
          <w:rFonts w:cs="Arial"/>
          <w:szCs w:val="24"/>
        </w:rPr>
        <w:t>5</w:t>
      </w:r>
      <w:r w:rsidRPr="003D54DD">
        <w:rPr>
          <w:rFonts w:cs="Arial"/>
          <w:szCs w:val="24"/>
        </w:rPr>
        <w:t xml:space="preserve"> se prevé</w:t>
      </w:r>
      <w:r w:rsidR="00D46963" w:rsidRPr="003D54DD">
        <w:rPr>
          <w:rFonts w:cs="Arial"/>
          <w:szCs w:val="24"/>
        </w:rPr>
        <w:t xml:space="preserve"> un resultado equilibrado</w:t>
      </w:r>
      <w:r w:rsidRPr="003D54DD">
        <w:rPr>
          <w:rFonts w:cs="Arial"/>
          <w:szCs w:val="24"/>
        </w:rPr>
        <w:t xml:space="preserve">. </w:t>
      </w:r>
    </w:p>
    <w:p w:rsidR="00692B5D" w:rsidRPr="003D54DD" w:rsidRDefault="00692B5D" w:rsidP="00692B5D">
      <w:pPr>
        <w:ind w:left="360"/>
        <w:jc w:val="both"/>
        <w:rPr>
          <w:rFonts w:cs="Arial"/>
          <w:szCs w:val="24"/>
        </w:rPr>
      </w:pPr>
    </w:p>
    <w:p w:rsidR="00692B5D" w:rsidRPr="003D54DD" w:rsidRDefault="00692B5D" w:rsidP="00692B5D">
      <w:pPr>
        <w:jc w:val="both"/>
        <w:rPr>
          <w:rFonts w:cs="Arial"/>
          <w:szCs w:val="24"/>
        </w:rPr>
      </w:pPr>
      <w:r w:rsidRPr="003D54DD">
        <w:rPr>
          <w:rFonts w:cs="Arial"/>
          <w:szCs w:val="24"/>
        </w:rPr>
        <w:t>Las aportaciones a resultados previstas de las empresas filiales y participadas para el ejercicio 201</w:t>
      </w:r>
      <w:r w:rsidR="00D46963" w:rsidRPr="003D54DD">
        <w:rPr>
          <w:rFonts w:cs="Arial"/>
          <w:szCs w:val="24"/>
        </w:rPr>
        <w:t>5</w:t>
      </w:r>
      <w:r w:rsidRPr="003D54DD">
        <w:rPr>
          <w:rFonts w:cs="Arial"/>
          <w:szCs w:val="24"/>
        </w:rPr>
        <w:t xml:space="preserve"> son las que a continuación se detallan:</w:t>
      </w:r>
    </w:p>
    <w:p w:rsidR="00692B5D" w:rsidRPr="003D54DD" w:rsidRDefault="00692B5D" w:rsidP="00692B5D">
      <w:pPr>
        <w:ind w:left="360"/>
        <w:jc w:val="both"/>
        <w:rPr>
          <w:rFonts w:cs="Arial"/>
          <w:szCs w:val="24"/>
        </w:rPr>
      </w:pP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 xml:space="preserve">Sociedades filiales: Aportan un resultado antes de impuestos negativo de </w:t>
      </w:r>
      <w:r w:rsidR="00D46963" w:rsidRPr="003D54DD">
        <w:rPr>
          <w:rFonts w:cs="Arial"/>
          <w:szCs w:val="24"/>
        </w:rPr>
        <w:t>2,4</w:t>
      </w:r>
      <w:r w:rsidRPr="003D54DD">
        <w:rPr>
          <w:rFonts w:cs="Arial"/>
          <w:szCs w:val="24"/>
        </w:rPr>
        <w:t xml:space="preserve"> millones de euros. Con respecto al ejercicio 201</w:t>
      </w:r>
      <w:r w:rsidR="00D46963" w:rsidRPr="003D54DD">
        <w:rPr>
          <w:rFonts w:cs="Arial"/>
          <w:szCs w:val="24"/>
        </w:rPr>
        <w:t>4</w:t>
      </w:r>
      <w:r w:rsidRPr="003D54DD">
        <w:rPr>
          <w:rFonts w:cs="Arial"/>
          <w:szCs w:val="24"/>
        </w:rPr>
        <w:t xml:space="preserve"> cabe destacar </w:t>
      </w:r>
      <w:r w:rsidR="003575A0" w:rsidRPr="003D54DD">
        <w:rPr>
          <w:rFonts w:cs="Arial"/>
          <w:szCs w:val="24"/>
        </w:rPr>
        <w:t xml:space="preserve">la ligera disminución </w:t>
      </w:r>
      <w:r w:rsidRPr="003D54DD">
        <w:rPr>
          <w:rFonts w:cs="Arial"/>
          <w:szCs w:val="24"/>
        </w:rPr>
        <w:t xml:space="preserve">del coste financiero debido </w:t>
      </w:r>
      <w:r w:rsidR="00D46963" w:rsidRPr="003D54DD">
        <w:rPr>
          <w:rFonts w:cs="Arial"/>
          <w:szCs w:val="24"/>
        </w:rPr>
        <w:t>al descenso</w:t>
      </w:r>
      <w:r w:rsidRPr="003D54DD">
        <w:rPr>
          <w:rFonts w:cs="Arial"/>
          <w:szCs w:val="24"/>
        </w:rPr>
        <w:t xml:space="preserve"> del tipo medio de interés considerado.</w:t>
      </w:r>
    </w:p>
    <w:p w:rsidR="00692B5D" w:rsidRPr="003D54DD" w:rsidRDefault="00692B5D" w:rsidP="00692B5D">
      <w:pPr>
        <w:jc w:val="both"/>
        <w:rPr>
          <w:rFonts w:cs="Arial"/>
          <w:szCs w:val="24"/>
        </w:rPr>
      </w:pP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Sociedades participadas: Para el ejercicio 201</w:t>
      </w:r>
      <w:r w:rsidR="003575A0" w:rsidRPr="003D54DD">
        <w:rPr>
          <w:rFonts w:cs="Arial"/>
          <w:szCs w:val="24"/>
        </w:rPr>
        <w:t>5</w:t>
      </w:r>
      <w:r w:rsidRPr="003D54DD">
        <w:rPr>
          <w:rFonts w:cs="Arial"/>
          <w:szCs w:val="24"/>
        </w:rPr>
        <w:t xml:space="preserve"> se prevé un resultado positivo de 0,</w:t>
      </w:r>
      <w:r w:rsidR="003575A0" w:rsidRPr="003D54DD">
        <w:rPr>
          <w:rFonts w:cs="Arial"/>
          <w:szCs w:val="24"/>
        </w:rPr>
        <w:t>6</w:t>
      </w:r>
      <w:r w:rsidRPr="003D54DD">
        <w:rPr>
          <w:rFonts w:cs="Arial"/>
          <w:szCs w:val="24"/>
        </w:rPr>
        <w:t xml:space="preserve"> millones de euros.</w:t>
      </w:r>
    </w:p>
    <w:p w:rsidR="00692B5D" w:rsidRPr="003D54DD" w:rsidRDefault="00692B5D" w:rsidP="00692B5D">
      <w:pPr>
        <w:jc w:val="both"/>
        <w:rPr>
          <w:rFonts w:cs="Arial"/>
          <w:szCs w:val="24"/>
        </w:rPr>
      </w:pP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El impuesto sobre beneficios asciende a 1,</w:t>
      </w:r>
      <w:r w:rsidR="003575A0" w:rsidRPr="003D54DD">
        <w:rPr>
          <w:rFonts w:cs="Arial"/>
          <w:szCs w:val="24"/>
        </w:rPr>
        <w:t>9</w:t>
      </w:r>
      <w:r w:rsidRPr="003D54DD">
        <w:rPr>
          <w:rFonts w:cs="Arial"/>
          <w:szCs w:val="24"/>
        </w:rPr>
        <w:t xml:space="preserve"> millones de euros positivos.</w:t>
      </w:r>
    </w:p>
    <w:p w:rsidR="00692B5D" w:rsidRPr="003D54DD" w:rsidRDefault="00692B5D" w:rsidP="00692B5D">
      <w:pPr>
        <w:jc w:val="both"/>
        <w:rPr>
          <w:rFonts w:cs="Arial"/>
          <w:szCs w:val="24"/>
        </w:rPr>
      </w:pP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 xml:space="preserve">El resultado final atribuido a socios externos </w:t>
      </w:r>
      <w:r w:rsidR="003575A0" w:rsidRPr="003D54DD">
        <w:rPr>
          <w:rFonts w:cs="Arial"/>
          <w:szCs w:val="24"/>
        </w:rPr>
        <w:t>es positivo en 0,</w:t>
      </w:r>
      <w:r w:rsidR="00057E85">
        <w:rPr>
          <w:rFonts w:cs="Arial"/>
          <w:szCs w:val="24"/>
        </w:rPr>
        <w:t>09</w:t>
      </w:r>
      <w:r w:rsidR="003575A0" w:rsidRPr="003D54DD">
        <w:rPr>
          <w:rFonts w:cs="Arial"/>
          <w:szCs w:val="24"/>
        </w:rPr>
        <w:t xml:space="preserve"> millones de euros</w:t>
      </w:r>
      <w:r w:rsidRPr="003D54DD">
        <w:rPr>
          <w:rFonts w:cs="Arial"/>
          <w:szCs w:val="24"/>
        </w:rPr>
        <w:t>.</w:t>
      </w:r>
    </w:p>
    <w:p w:rsidR="00452E35" w:rsidRPr="003D54DD" w:rsidRDefault="00452E35" w:rsidP="00452E35">
      <w:pPr>
        <w:pStyle w:val="Textoindependiente"/>
        <w:rPr>
          <w:rFonts w:cs="Arial"/>
          <w:b w:val="0"/>
          <w:bCs/>
          <w:kern w:val="32"/>
          <w:sz w:val="28"/>
          <w:szCs w:val="28"/>
          <w:u w:val="single"/>
        </w:rPr>
      </w:pPr>
    </w:p>
    <w:p w:rsidR="00F2370C" w:rsidRPr="003D54DD" w:rsidRDefault="00F2370C" w:rsidP="00452E35">
      <w:pPr>
        <w:pStyle w:val="Textoindependiente"/>
        <w:rPr>
          <w:rFonts w:cs="Arial"/>
          <w:b w:val="0"/>
          <w:bCs/>
          <w:kern w:val="32"/>
          <w:sz w:val="28"/>
          <w:szCs w:val="28"/>
          <w:u w:val="single"/>
        </w:rPr>
      </w:pPr>
    </w:p>
    <w:p w:rsidR="00CE53F8" w:rsidRPr="00BF7448" w:rsidRDefault="00CE53F8" w:rsidP="00750EB7">
      <w:pPr>
        <w:pStyle w:val="Sangradetextonormal"/>
        <w:numPr>
          <w:ilvl w:val="0"/>
          <w:numId w:val="14"/>
        </w:numPr>
        <w:jc w:val="both"/>
        <w:outlineLvl w:val="2"/>
        <w:rPr>
          <w:rFonts w:cs="Arial"/>
          <w:b/>
          <w:color w:val="016FB8"/>
          <w:szCs w:val="24"/>
          <w:u w:val="single"/>
        </w:rPr>
      </w:pPr>
      <w:bookmarkStart w:id="34" w:name="_Toc403984317"/>
      <w:r w:rsidRPr="00BF7448">
        <w:rPr>
          <w:rFonts w:cs="Arial"/>
          <w:b/>
          <w:color w:val="016FB8"/>
          <w:szCs w:val="24"/>
          <w:u w:val="single"/>
        </w:rPr>
        <w:t>Inversiones</w:t>
      </w:r>
      <w:bookmarkEnd w:id="33"/>
      <w:bookmarkEnd w:id="34"/>
    </w:p>
    <w:p w:rsidR="0095132A" w:rsidRPr="003D54DD" w:rsidRDefault="0095132A" w:rsidP="00C1411B">
      <w:pPr>
        <w:pStyle w:val="Sangradetextonormal"/>
        <w:ind w:left="360" w:firstLine="0"/>
        <w:jc w:val="both"/>
        <w:rPr>
          <w:rFonts w:cs="Arial"/>
          <w:szCs w:val="24"/>
          <w:u w:val="single"/>
        </w:rPr>
      </w:pPr>
    </w:p>
    <w:p w:rsidR="00692B5D" w:rsidRPr="003D54DD" w:rsidRDefault="00692B5D" w:rsidP="00692B5D">
      <w:pPr>
        <w:tabs>
          <w:tab w:val="left" w:pos="720"/>
        </w:tabs>
        <w:jc w:val="both"/>
        <w:rPr>
          <w:rFonts w:cs="Arial"/>
          <w:szCs w:val="24"/>
        </w:rPr>
      </w:pPr>
      <w:bookmarkStart w:id="35" w:name="_Toc213647539"/>
      <w:r w:rsidRPr="003D54DD">
        <w:rPr>
          <w:rFonts w:cs="Arial"/>
          <w:szCs w:val="24"/>
        </w:rPr>
        <w:t>Las inversiones del año 201</w:t>
      </w:r>
      <w:r w:rsidR="003575A0" w:rsidRPr="003D54DD">
        <w:rPr>
          <w:rFonts w:cs="Arial"/>
          <w:szCs w:val="24"/>
        </w:rPr>
        <w:t>4</w:t>
      </w:r>
      <w:r w:rsidRPr="003D54DD">
        <w:rPr>
          <w:rFonts w:cs="Arial"/>
          <w:szCs w:val="24"/>
        </w:rPr>
        <w:t xml:space="preserve"> se estiman en </w:t>
      </w:r>
      <w:r w:rsidR="003575A0" w:rsidRPr="003D54DD">
        <w:rPr>
          <w:rFonts w:cs="Arial"/>
          <w:szCs w:val="24"/>
        </w:rPr>
        <w:t>36</w:t>
      </w:r>
      <w:r w:rsidRPr="003D54DD">
        <w:rPr>
          <w:rFonts w:cs="Arial"/>
          <w:szCs w:val="24"/>
        </w:rPr>
        <w:t>,5 millones de euros. Para el 201</w:t>
      </w:r>
      <w:r w:rsidR="003575A0" w:rsidRPr="003D54DD">
        <w:rPr>
          <w:rFonts w:cs="Arial"/>
          <w:szCs w:val="24"/>
        </w:rPr>
        <w:t>4</w:t>
      </w:r>
      <w:r w:rsidRPr="003D54DD">
        <w:rPr>
          <w:rFonts w:cs="Arial"/>
          <w:szCs w:val="24"/>
        </w:rPr>
        <w:t xml:space="preserve"> en el Plan de Actuación se habían presupuestado proyectos por </w:t>
      </w:r>
      <w:r w:rsidR="003575A0" w:rsidRPr="003D54DD">
        <w:rPr>
          <w:rFonts w:cs="Arial"/>
          <w:szCs w:val="24"/>
        </w:rPr>
        <w:t>43,1</w:t>
      </w:r>
      <w:r w:rsidRPr="003D54DD">
        <w:rPr>
          <w:rFonts w:cs="Arial"/>
          <w:szCs w:val="24"/>
        </w:rPr>
        <w:t xml:space="preserve"> millones de euros, lo que implica una menor inversión en el estimado de cierre de </w:t>
      </w:r>
      <w:r w:rsidR="003575A0" w:rsidRPr="003D54DD">
        <w:rPr>
          <w:rFonts w:cs="Arial"/>
          <w:szCs w:val="24"/>
        </w:rPr>
        <w:t>6,6</w:t>
      </w:r>
      <w:r w:rsidRPr="003D54DD">
        <w:rPr>
          <w:rFonts w:cs="Arial"/>
          <w:szCs w:val="24"/>
        </w:rPr>
        <w:t xml:space="preserve"> millones de euros. Los principales proyectos que explican la desviación con respecto a lo inicialmente presupuestado son los siguientes:</w:t>
      </w:r>
    </w:p>
    <w:p w:rsidR="00692B5D" w:rsidRPr="003D54DD" w:rsidRDefault="00692B5D" w:rsidP="00692B5D">
      <w:pPr>
        <w:tabs>
          <w:tab w:val="left" w:pos="720"/>
        </w:tabs>
        <w:ind w:left="360"/>
        <w:jc w:val="both"/>
        <w:rPr>
          <w:rFonts w:cs="Arial"/>
          <w:szCs w:val="24"/>
        </w:rPr>
      </w:pPr>
    </w:p>
    <w:p w:rsidR="00784AB2" w:rsidRPr="003D54DD" w:rsidRDefault="00784AB2"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En MLV se ha comprado la nave con conexión al túnel de Ford, por 1,8 millones de euros.</w:t>
      </w:r>
    </w:p>
    <w:p w:rsidR="004A31A5" w:rsidRPr="003D54DD" w:rsidRDefault="004A31A5" w:rsidP="004A31A5">
      <w:pPr>
        <w:autoSpaceDE w:val="0"/>
        <w:autoSpaceDN w:val="0"/>
        <w:adjustRightInd w:val="0"/>
        <w:ind w:left="360"/>
        <w:jc w:val="both"/>
        <w:rPr>
          <w:rFonts w:cs="Arial"/>
          <w:szCs w:val="24"/>
        </w:rPr>
      </w:pPr>
    </w:p>
    <w:p w:rsidR="00692B5D" w:rsidRPr="003D54DD" w:rsidRDefault="00181CDC"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 xml:space="preserve">El </w:t>
      </w:r>
      <w:r w:rsidR="00692B5D" w:rsidRPr="003D54DD">
        <w:rPr>
          <w:rFonts w:cs="Arial"/>
          <w:szCs w:val="24"/>
        </w:rPr>
        <w:t>Grupo Flisa</w:t>
      </w:r>
      <w:r w:rsidRPr="003D54DD">
        <w:rPr>
          <w:rFonts w:cs="Arial"/>
          <w:szCs w:val="24"/>
        </w:rPr>
        <w:t xml:space="preserve"> e</w:t>
      </w:r>
      <w:r w:rsidR="000429F3" w:rsidRPr="003D54DD">
        <w:rPr>
          <w:rFonts w:cs="Arial"/>
          <w:szCs w:val="24"/>
        </w:rPr>
        <w:t>n 2014 va a acometer proyectos presupuestados en 2013 cuya ejecución se ha retrasado al ejercicio actual y que, por tanto, no se encontraban en el presupuesto de 2014, por 3,1 millones de euros.</w:t>
      </w:r>
    </w:p>
    <w:p w:rsidR="004A31A5" w:rsidRPr="003D54DD" w:rsidRDefault="004A31A5" w:rsidP="004A31A5">
      <w:pPr>
        <w:autoSpaceDE w:val="0"/>
        <w:autoSpaceDN w:val="0"/>
        <w:adjustRightInd w:val="0"/>
        <w:ind w:left="360"/>
        <w:jc w:val="both"/>
        <w:rPr>
          <w:rFonts w:cs="Arial"/>
          <w:szCs w:val="24"/>
        </w:rPr>
      </w:pPr>
    </w:p>
    <w:p w:rsidR="00865401" w:rsidRPr="003D54DD" w:rsidRDefault="00865401"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 xml:space="preserve">En FSI Zona Centro se va a acometer y finalizar en 2014 un proyecto de inversión </w:t>
      </w:r>
      <w:r w:rsidR="00057E85">
        <w:rPr>
          <w:rFonts w:cs="Arial"/>
          <w:szCs w:val="24"/>
        </w:rPr>
        <w:t xml:space="preserve">por 0,9 millones de euros </w:t>
      </w:r>
      <w:r w:rsidRPr="003D54DD">
        <w:rPr>
          <w:rFonts w:cs="Arial"/>
          <w:szCs w:val="24"/>
        </w:rPr>
        <w:t xml:space="preserve">relacionado con el contrato firmado </w:t>
      </w:r>
      <w:r w:rsidR="00057E85">
        <w:rPr>
          <w:rFonts w:cs="Arial"/>
          <w:szCs w:val="24"/>
        </w:rPr>
        <w:t xml:space="preserve">este año </w:t>
      </w:r>
      <w:r w:rsidRPr="003D54DD">
        <w:rPr>
          <w:rFonts w:cs="Arial"/>
          <w:szCs w:val="24"/>
        </w:rPr>
        <w:t>con la empresa DHL. La actividad con el cliente DHL se va a llevar a cabo en una nave de esta sociedad en el municipio de Quer (Guadalajara), que debe ser acondicionada por la sociedad. Además, se requiere la adquisición de maquinaria para la instalación de varias líneas de trabajo.</w:t>
      </w:r>
    </w:p>
    <w:p w:rsidR="00181CDC" w:rsidRPr="003D54DD" w:rsidRDefault="00181CDC" w:rsidP="00181CDC">
      <w:pPr>
        <w:autoSpaceDE w:val="0"/>
        <w:autoSpaceDN w:val="0"/>
        <w:adjustRightInd w:val="0"/>
        <w:ind w:left="360"/>
        <w:jc w:val="both"/>
        <w:rPr>
          <w:rFonts w:cs="Arial"/>
          <w:szCs w:val="24"/>
        </w:rPr>
      </w:pPr>
    </w:p>
    <w:p w:rsidR="004A31A5" w:rsidRPr="003D54DD" w:rsidRDefault="004A31A5" w:rsidP="00181CDC">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 xml:space="preserve">En Fundosa se había previsto la adquisición de un inmueble por 23,3 millones de euros y la venta de naves/edificios por 1,5 millones, no habiéndose ejecutado ninguno de estos dos proyectos. Por otra parte, se han realizado inversiones que no estaban previstas en el presupuesto o que quedaron pendientes de ejecutar del presupuesto de 2013, destacando </w:t>
      </w:r>
      <w:r w:rsidR="00181CDC" w:rsidRPr="003D54DD">
        <w:rPr>
          <w:rFonts w:cs="Arial"/>
          <w:szCs w:val="24"/>
        </w:rPr>
        <w:t>las compras de las naves donde desarrollan su actividad CEE Apta, Primur y Laveco (5,3 millones), el aumento de la participación en la sociedad Clintex (1,6 mill</w:t>
      </w:r>
      <w:r w:rsidR="0087005E" w:rsidRPr="003D54DD">
        <w:rPr>
          <w:rFonts w:cs="Arial"/>
          <w:szCs w:val="24"/>
        </w:rPr>
        <w:t>ones),</w:t>
      </w:r>
      <w:r w:rsidR="00181CDC" w:rsidRPr="003D54DD">
        <w:rPr>
          <w:rFonts w:cs="Arial"/>
          <w:szCs w:val="24"/>
        </w:rPr>
        <w:t xml:space="preserve"> la ampliación de capital realizada en CEE Apta (1,3 millones)</w:t>
      </w:r>
      <w:r w:rsidR="0087005E" w:rsidRPr="003D54DD">
        <w:rPr>
          <w:rFonts w:cs="Arial"/>
          <w:szCs w:val="24"/>
        </w:rPr>
        <w:t xml:space="preserve"> y el aumento de </w:t>
      </w:r>
      <w:r w:rsidR="00057E85">
        <w:rPr>
          <w:rFonts w:cs="Arial"/>
          <w:szCs w:val="24"/>
        </w:rPr>
        <w:t xml:space="preserve">la </w:t>
      </w:r>
      <w:r w:rsidR="0087005E" w:rsidRPr="003D54DD">
        <w:rPr>
          <w:rFonts w:cs="Arial"/>
          <w:szCs w:val="24"/>
        </w:rPr>
        <w:t>participación en Laveco (0,6 millones)</w:t>
      </w:r>
      <w:r w:rsidR="00181CDC" w:rsidRPr="003D54DD">
        <w:rPr>
          <w:rFonts w:cs="Arial"/>
          <w:szCs w:val="24"/>
        </w:rPr>
        <w:t xml:space="preserve">. </w:t>
      </w:r>
      <w:r w:rsidRPr="003D54DD">
        <w:rPr>
          <w:rFonts w:cs="Arial"/>
          <w:szCs w:val="24"/>
        </w:rPr>
        <w:t xml:space="preserve"> </w:t>
      </w:r>
    </w:p>
    <w:p w:rsidR="004A31A5" w:rsidRPr="003D54DD" w:rsidRDefault="004A31A5" w:rsidP="00181CDC">
      <w:pPr>
        <w:autoSpaceDE w:val="0"/>
        <w:autoSpaceDN w:val="0"/>
        <w:adjustRightInd w:val="0"/>
        <w:ind w:left="360"/>
        <w:jc w:val="both"/>
        <w:rPr>
          <w:rFonts w:cs="Arial"/>
          <w:szCs w:val="24"/>
        </w:rPr>
      </w:pPr>
    </w:p>
    <w:p w:rsidR="00692B5D" w:rsidRPr="003D54DD" w:rsidRDefault="00692B5D" w:rsidP="00692B5D">
      <w:pPr>
        <w:tabs>
          <w:tab w:val="left" w:pos="720"/>
        </w:tabs>
        <w:jc w:val="both"/>
        <w:rPr>
          <w:rFonts w:cs="Arial"/>
          <w:szCs w:val="24"/>
        </w:rPr>
      </w:pPr>
      <w:r w:rsidRPr="003D54DD">
        <w:rPr>
          <w:rFonts w:cs="Arial"/>
          <w:szCs w:val="24"/>
        </w:rPr>
        <w:t>Para el ejercicio 201</w:t>
      </w:r>
      <w:r w:rsidR="003575A0" w:rsidRPr="003D54DD">
        <w:rPr>
          <w:rFonts w:cs="Arial"/>
          <w:szCs w:val="24"/>
        </w:rPr>
        <w:t>5</w:t>
      </w:r>
      <w:r w:rsidRPr="003D54DD">
        <w:rPr>
          <w:rFonts w:cs="Arial"/>
          <w:szCs w:val="24"/>
        </w:rPr>
        <w:t xml:space="preserve"> el Grupo Fundosa prevé </w:t>
      </w:r>
      <w:r w:rsidR="006B7104" w:rsidRPr="003D54DD">
        <w:rPr>
          <w:rFonts w:cs="Arial"/>
          <w:szCs w:val="24"/>
        </w:rPr>
        <w:t>unas</w:t>
      </w:r>
      <w:r w:rsidRPr="003D54DD">
        <w:rPr>
          <w:rFonts w:cs="Arial"/>
          <w:szCs w:val="24"/>
        </w:rPr>
        <w:t xml:space="preserve"> inversiones </w:t>
      </w:r>
      <w:r w:rsidR="006B7104" w:rsidRPr="003D54DD">
        <w:rPr>
          <w:rFonts w:cs="Arial"/>
          <w:szCs w:val="24"/>
        </w:rPr>
        <w:t xml:space="preserve">netas </w:t>
      </w:r>
      <w:r w:rsidRPr="003D54DD">
        <w:rPr>
          <w:rFonts w:cs="Arial"/>
          <w:szCs w:val="24"/>
        </w:rPr>
        <w:t xml:space="preserve">por </w:t>
      </w:r>
      <w:r w:rsidR="00584E5A" w:rsidRPr="003D54DD">
        <w:rPr>
          <w:rFonts w:cs="Arial"/>
          <w:szCs w:val="24"/>
        </w:rPr>
        <w:t>20,6</w:t>
      </w:r>
      <w:r w:rsidRPr="003D54DD">
        <w:rPr>
          <w:rFonts w:cs="Arial"/>
          <w:szCs w:val="24"/>
        </w:rPr>
        <w:t xml:space="preserve"> millones de euros. </w:t>
      </w:r>
      <w:r w:rsidR="006B7104" w:rsidRPr="003D54DD">
        <w:rPr>
          <w:rFonts w:cs="Arial"/>
          <w:szCs w:val="24"/>
        </w:rPr>
        <w:t xml:space="preserve">Se prevén ejecutar proyectos por </w:t>
      </w:r>
      <w:r w:rsidR="000B0BDF" w:rsidRPr="003D54DD">
        <w:rPr>
          <w:rFonts w:cs="Arial"/>
          <w:szCs w:val="24"/>
        </w:rPr>
        <w:t>22</w:t>
      </w:r>
      <w:r w:rsidR="006B7104" w:rsidRPr="003D54DD">
        <w:rPr>
          <w:rFonts w:cs="Arial"/>
          <w:szCs w:val="24"/>
        </w:rPr>
        <w:t xml:space="preserve"> millones y desinvertir </w:t>
      </w:r>
      <w:r w:rsidR="00584E5A" w:rsidRPr="003D54DD">
        <w:rPr>
          <w:rFonts w:cs="Arial"/>
          <w:szCs w:val="24"/>
        </w:rPr>
        <w:t>1,4</w:t>
      </w:r>
      <w:r w:rsidR="006B7104" w:rsidRPr="003D54DD">
        <w:rPr>
          <w:rFonts w:cs="Arial"/>
          <w:szCs w:val="24"/>
        </w:rPr>
        <w:t xml:space="preserve"> millones.</w:t>
      </w:r>
    </w:p>
    <w:p w:rsidR="00692B5D" w:rsidRPr="003D54DD" w:rsidRDefault="00692B5D" w:rsidP="00692B5D">
      <w:pPr>
        <w:tabs>
          <w:tab w:val="left" w:pos="720"/>
        </w:tabs>
        <w:jc w:val="both"/>
        <w:rPr>
          <w:rFonts w:cs="Arial"/>
          <w:szCs w:val="24"/>
        </w:rPr>
      </w:pPr>
    </w:p>
    <w:p w:rsidR="00692B5D" w:rsidRPr="003D54DD" w:rsidRDefault="00692B5D" w:rsidP="00692B5D">
      <w:pPr>
        <w:tabs>
          <w:tab w:val="left" w:pos="720"/>
        </w:tabs>
        <w:jc w:val="both"/>
        <w:rPr>
          <w:rFonts w:cs="Arial"/>
          <w:szCs w:val="24"/>
        </w:rPr>
      </w:pPr>
      <w:r w:rsidRPr="003D54DD">
        <w:rPr>
          <w:rFonts w:cs="Arial"/>
          <w:szCs w:val="24"/>
        </w:rPr>
        <w:t>Por conceptos y compañías destacan las siguientes partidas:</w:t>
      </w:r>
      <w:r w:rsidRPr="003D54DD">
        <w:rPr>
          <w:rFonts w:cs="Arial"/>
          <w:szCs w:val="24"/>
        </w:rPr>
        <w:tab/>
      </w:r>
    </w:p>
    <w:p w:rsidR="00692B5D" w:rsidRPr="003D54DD" w:rsidRDefault="00692B5D" w:rsidP="00692B5D">
      <w:pPr>
        <w:tabs>
          <w:tab w:val="left" w:pos="720"/>
        </w:tabs>
        <w:jc w:val="both"/>
        <w:rPr>
          <w:rFonts w:cs="Arial"/>
          <w:b/>
          <w:szCs w:val="24"/>
        </w:rPr>
      </w:pPr>
    </w:p>
    <w:p w:rsidR="00692B5D" w:rsidRPr="003D54DD" w:rsidRDefault="00692B5D" w:rsidP="00692B5D">
      <w:pPr>
        <w:tabs>
          <w:tab w:val="left" w:pos="720"/>
        </w:tabs>
        <w:jc w:val="both"/>
        <w:rPr>
          <w:rFonts w:cs="Arial"/>
          <w:b/>
          <w:szCs w:val="24"/>
        </w:rPr>
      </w:pPr>
      <w:r w:rsidRPr="003D54DD">
        <w:rPr>
          <w:rFonts w:cs="Arial"/>
          <w:b/>
          <w:szCs w:val="24"/>
        </w:rPr>
        <w:t>Reformas y adecuaciones de tiendas / plantas industriales / centros</w:t>
      </w:r>
    </w:p>
    <w:p w:rsidR="00692B5D" w:rsidRPr="003D54DD" w:rsidRDefault="00692B5D" w:rsidP="00692B5D">
      <w:pPr>
        <w:tabs>
          <w:tab w:val="left" w:pos="720"/>
        </w:tabs>
        <w:ind w:left="11"/>
        <w:jc w:val="both"/>
        <w:rPr>
          <w:rFonts w:cs="Arial"/>
          <w:szCs w:val="24"/>
        </w:rPr>
      </w:pPr>
    </w:p>
    <w:p w:rsidR="00692B5D" w:rsidRPr="003D54DD" w:rsidRDefault="00692B5D" w:rsidP="00692B5D">
      <w:pPr>
        <w:tabs>
          <w:tab w:val="left" w:pos="720"/>
        </w:tabs>
        <w:ind w:left="11"/>
        <w:jc w:val="both"/>
        <w:rPr>
          <w:rFonts w:cs="Arial"/>
          <w:szCs w:val="24"/>
        </w:rPr>
      </w:pPr>
      <w:r w:rsidRPr="003D54DD">
        <w:rPr>
          <w:rFonts w:cs="Arial"/>
          <w:szCs w:val="24"/>
        </w:rPr>
        <w:t xml:space="preserve">En este epígrafe se tiene previsto invertir </w:t>
      </w:r>
      <w:r w:rsidR="003575A0" w:rsidRPr="003D54DD">
        <w:rPr>
          <w:rFonts w:cs="Arial"/>
          <w:szCs w:val="24"/>
        </w:rPr>
        <w:t>6</w:t>
      </w:r>
      <w:r w:rsidRPr="003D54DD">
        <w:rPr>
          <w:rFonts w:cs="Arial"/>
          <w:szCs w:val="24"/>
        </w:rPr>
        <w:t>,3 millones de euros, destacando:</w:t>
      </w:r>
    </w:p>
    <w:p w:rsidR="00692B5D" w:rsidRPr="003D54DD" w:rsidRDefault="00692B5D" w:rsidP="00692B5D">
      <w:pPr>
        <w:tabs>
          <w:tab w:val="left" w:pos="720"/>
        </w:tabs>
        <w:jc w:val="both"/>
        <w:rPr>
          <w:rFonts w:cs="Arial"/>
          <w:szCs w:val="24"/>
        </w:rPr>
      </w:pP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Grupo Flisa: Modernización y saneamiento de plantas (</w:t>
      </w:r>
      <w:r w:rsidR="003575A0" w:rsidRPr="003D54DD">
        <w:rPr>
          <w:rFonts w:cs="Arial"/>
          <w:szCs w:val="24"/>
        </w:rPr>
        <w:t>5</w:t>
      </w:r>
      <w:r w:rsidRPr="003D54DD">
        <w:rPr>
          <w:rFonts w:cs="Arial"/>
          <w:szCs w:val="24"/>
        </w:rPr>
        <w:t xml:space="preserve"> millones de euros).</w:t>
      </w:r>
    </w:p>
    <w:p w:rsidR="00692B5D" w:rsidRPr="003D54DD" w:rsidRDefault="003575A0"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Sport y Ocio</w:t>
      </w:r>
      <w:r w:rsidR="00692B5D" w:rsidRPr="003D54DD">
        <w:rPr>
          <w:rFonts w:cs="Arial"/>
          <w:szCs w:val="24"/>
        </w:rPr>
        <w:t xml:space="preserve">: </w:t>
      </w:r>
      <w:r w:rsidR="00473B7B" w:rsidRPr="003D54DD">
        <w:rPr>
          <w:rFonts w:cs="Arial"/>
          <w:szCs w:val="24"/>
        </w:rPr>
        <w:t>Construcción y acondicionamiento de pistas de pádel para cubrirlas (0,6 millones de euros), inversión enmarcada en el proyecto de dinamización de la actividad de pádel.</w:t>
      </w:r>
    </w:p>
    <w:p w:rsidR="006B7104" w:rsidRPr="003D54DD" w:rsidRDefault="006B7104"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Galenas: Reformas y adecuación de tiendas (0,3 millones de euros).</w:t>
      </w:r>
    </w:p>
    <w:p w:rsidR="006B7104" w:rsidRPr="003D54DD" w:rsidRDefault="006B7104"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Personalia: Reformas en centros residenciales y oficinas centrales (0,2 millones de euros).</w:t>
      </w:r>
    </w:p>
    <w:p w:rsidR="00692B5D" w:rsidRPr="003D54DD" w:rsidRDefault="00692B5D" w:rsidP="00692B5D">
      <w:pPr>
        <w:tabs>
          <w:tab w:val="left" w:pos="720"/>
        </w:tabs>
        <w:jc w:val="both"/>
        <w:rPr>
          <w:rFonts w:cs="Arial"/>
          <w:szCs w:val="24"/>
        </w:rPr>
      </w:pPr>
    </w:p>
    <w:p w:rsidR="00692B5D" w:rsidRPr="003D54DD" w:rsidRDefault="00692B5D" w:rsidP="00692B5D">
      <w:pPr>
        <w:tabs>
          <w:tab w:val="left" w:pos="720"/>
        </w:tabs>
        <w:jc w:val="both"/>
        <w:rPr>
          <w:rFonts w:cs="Arial"/>
          <w:b/>
          <w:szCs w:val="24"/>
        </w:rPr>
      </w:pPr>
      <w:r w:rsidRPr="003D54DD">
        <w:rPr>
          <w:rFonts w:cs="Arial"/>
          <w:b/>
          <w:szCs w:val="24"/>
        </w:rPr>
        <w:t>Maquinaria, elementos de transporte, utillaje y otros elementos asociados a la actividad</w:t>
      </w:r>
    </w:p>
    <w:p w:rsidR="00692B5D" w:rsidRPr="003D54DD" w:rsidRDefault="00692B5D" w:rsidP="00692B5D">
      <w:pPr>
        <w:tabs>
          <w:tab w:val="left" w:pos="720"/>
        </w:tabs>
        <w:jc w:val="both"/>
        <w:rPr>
          <w:rFonts w:cs="Arial"/>
          <w:szCs w:val="24"/>
        </w:rPr>
      </w:pPr>
    </w:p>
    <w:p w:rsidR="00692B5D" w:rsidRPr="003D54DD" w:rsidRDefault="00692B5D" w:rsidP="00692B5D">
      <w:pPr>
        <w:tabs>
          <w:tab w:val="left" w:pos="720"/>
        </w:tabs>
        <w:jc w:val="both"/>
        <w:rPr>
          <w:rFonts w:cs="Arial"/>
          <w:szCs w:val="24"/>
        </w:rPr>
      </w:pPr>
      <w:r w:rsidRPr="003D54DD">
        <w:rPr>
          <w:rFonts w:cs="Arial"/>
          <w:szCs w:val="24"/>
        </w:rPr>
        <w:t xml:space="preserve">La inversión prevista en este epígrafe es de </w:t>
      </w:r>
      <w:r w:rsidR="00473B7B" w:rsidRPr="003D54DD">
        <w:rPr>
          <w:rFonts w:cs="Arial"/>
          <w:szCs w:val="24"/>
        </w:rPr>
        <w:t>5,6</w:t>
      </w:r>
      <w:r w:rsidRPr="003D54DD">
        <w:rPr>
          <w:rFonts w:cs="Arial"/>
          <w:szCs w:val="24"/>
        </w:rPr>
        <w:t xml:space="preserve"> millones de euros, destacando:</w:t>
      </w:r>
    </w:p>
    <w:p w:rsidR="00692B5D" w:rsidRPr="003D54DD" w:rsidRDefault="00692B5D" w:rsidP="00692B5D">
      <w:pPr>
        <w:tabs>
          <w:tab w:val="left" w:pos="720"/>
        </w:tabs>
        <w:jc w:val="both"/>
        <w:rPr>
          <w:rFonts w:cs="Arial"/>
          <w:szCs w:val="24"/>
        </w:rPr>
      </w:pP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 xml:space="preserve">Grupo Flisa: </w:t>
      </w:r>
      <w:r w:rsidR="00473B7B" w:rsidRPr="003D54DD">
        <w:rPr>
          <w:rFonts w:cs="Arial"/>
          <w:szCs w:val="24"/>
        </w:rPr>
        <w:t>Trazabilidad (1 millón de euros), c</w:t>
      </w:r>
      <w:r w:rsidRPr="003D54DD">
        <w:rPr>
          <w:rFonts w:cs="Arial"/>
          <w:szCs w:val="24"/>
        </w:rPr>
        <w:t>arros de ropa y utillaje (0,</w:t>
      </w:r>
      <w:r w:rsidR="00473B7B" w:rsidRPr="003D54DD">
        <w:rPr>
          <w:rFonts w:cs="Arial"/>
          <w:szCs w:val="24"/>
        </w:rPr>
        <w:t>9</w:t>
      </w:r>
      <w:r w:rsidRPr="003D54DD">
        <w:rPr>
          <w:rFonts w:cs="Arial"/>
          <w:szCs w:val="24"/>
        </w:rPr>
        <w:t xml:space="preserve"> millones de euros), </w:t>
      </w:r>
      <w:r w:rsidR="00473B7B" w:rsidRPr="003D54DD">
        <w:rPr>
          <w:rFonts w:cs="Arial"/>
          <w:szCs w:val="24"/>
        </w:rPr>
        <w:t xml:space="preserve">compra de activos derivados de la captación de clientes (0,7 millones de euros) y </w:t>
      </w:r>
      <w:r w:rsidRPr="003D54DD">
        <w:rPr>
          <w:rFonts w:cs="Arial"/>
          <w:szCs w:val="24"/>
        </w:rPr>
        <w:t>elementos de transporte (0,</w:t>
      </w:r>
      <w:r w:rsidR="00473B7B" w:rsidRPr="003D54DD">
        <w:rPr>
          <w:rFonts w:cs="Arial"/>
          <w:szCs w:val="24"/>
        </w:rPr>
        <w:t>6 millones de euros)</w:t>
      </w:r>
      <w:r w:rsidRPr="003D54DD">
        <w:rPr>
          <w:rFonts w:cs="Arial"/>
          <w:szCs w:val="24"/>
        </w:rPr>
        <w:t>.</w:t>
      </w: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 xml:space="preserve">UTE Personalia Sertel: Inversiones </w:t>
      </w:r>
      <w:r w:rsidR="009D7C84" w:rsidRPr="003D54DD">
        <w:rPr>
          <w:rFonts w:cs="Arial"/>
          <w:szCs w:val="24"/>
        </w:rPr>
        <w:t xml:space="preserve">en </w:t>
      </w:r>
      <w:r w:rsidRPr="003D54DD">
        <w:rPr>
          <w:rFonts w:cs="Arial"/>
          <w:szCs w:val="24"/>
        </w:rPr>
        <w:t>terminales y dispositivos para el proyecto de teleasistencia</w:t>
      </w:r>
      <w:r w:rsidR="006B7104" w:rsidRPr="003D54DD">
        <w:rPr>
          <w:rFonts w:cs="Arial"/>
          <w:szCs w:val="24"/>
        </w:rPr>
        <w:t xml:space="preserve"> del Ayuntamiento de Madrid</w:t>
      </w:r>
      <w:r w:rsidRPr="003D54DD">
        <w:rPr>
          <w:rFonts w:cs="Arial"/>
          <w:szCs w:val="24"/>
        </w:rPr>
        <w:t xml:space="preserve"> (1,5 millones de euros).</w:t>
      </w:r>
    </w:p>
    <w:p w:rsidR="00692B5D" w:rsidRPr="003D54DD" w:rsidRDefault="00692B5D"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lastRenderedPageBreak/>
        <w:t xml:space="preserve">Sertel: </w:t>
      </w:r>
      <w:r w:rsidR="00DC00C0" w:rsidRPr="003D54DD">
        <w:rPr>
          <w:rFonts w:cs="Arial"/>
          <w:szCs w:val="24"/>
        </w:rPr>
        <w:t xml:space="preserve">Mejoras tecnológicas relacionadas con la ampliación de capacidad (0,2 millones), </w:t>
      </w:r>
      <w:r w:rsidR="002E4F15" w:rsidRPr="003D54DD">
        <w:rPr>
          <w:rFonts w:cs="Arial"/>
          <w:szCs w:val="24"/>
        </w:rPr>
        <w:t>renovación y actualización de equipos (0,2 millones)</w:t>
      </w:r>
      <w:r w:rsidR="006B7104" w:rsidRPr="003D54DD">
        <w:rPr>
          <w:rFonts w:cs="Arial"/>
          <w:szCs w:val="24"/>
        </w:rPr>
        <w:t xml:space="preserve"> y</w:t>
      </w:r>
      <w:r w:rsidR="002E4F15" w:rsidRPr="003D54DD">
        <w:rPr>
          <w:rFonts w:cs="Arial"/>
          <w:szCs w:val="24"/>
        </w:rPr>
        <w:t xml:space="preserve"> proyecto de virtualización (0,1 millones)</w:t>
      </w:r>
      <w:r w:rsidRPr="003D54DD">
        <w:rPr>
          <w:rFonts w:cs="Arial"/>
          <w:szCs w:val="24"/>
        </w:rPr>
        <w:t xml:space="preserve">. </w:t>
      </w:r>
    </w:p>
    <w:p w:rsidR="00DC00C0" w:rsidRPr="003D54DD" w:rsidRDefault="00DC00C0" w:rsidP="00692B5D">
      <w:pPr>
        <w:tabs>
          <w:tab w:val="left" w:pos="720"/>
        </w:tabs>
        <w:jc w:val="both"/>
        <w:rPr>
          <w:rFonts w:cs="Arial"/>
          <w:szCs w:val="24"/>
        </w:rPr>
      </w:pPr>
    </w:p>
    <w:p w:rsidR="006B7104" w:rsidRPr="003D54DD" w:rsidRDefault="006B7104" w:rsidP="006B7104">
      <w:pPr>
        <w:tabs>
          <w:tab w:val="left" w:pos="720"/>
        </w:tabs>
        <w:jc w:val="both"/>
        <w:rPr>
          <w:rFonts w:cs="Arial"/>
          <w:b/>
          <w:szCs w:val="24"/>
        </w:rPr>
      </w:pPr>
      <w:r w:rsidRPr="003D54DD">
        <w:rPr>
          <w:rFonts w:cs="Arial"/>
          <w:b/>
          <w:szCs w:val="24"/>
        </w:rPr>
        <w:t>Inversiones financieras</w:t>
      </w:r>
    </w:p>
    <w:p w:rsidR="006B7104" w:rsidRPr="003D54DD" w:rsidRDefault="006B7104" w:rsidP="006B7104">
      <w:pPr>
        <w:tabs>
          <w:tab w:val="left" w:pos="720"/>
        </w:tabs>
        <w:jc w:val="both"/>
        <w:rPr>
          <w:rFonts w:cs="Arial"/>
          <w:szCs w:val="24"/>
        </w:rPr>
      </w:pPr>
    </w:p>
    <w:p w:rsidR="006B7104" w:rsidRPr="003D54DD" w:rsidRDefault="006B7104" w:rsidP="006B7104">
      <w:pPr>
        <w:tabs>
          <w:tab w:val="left" w:pos="720"/>
        </w:tabs>
        <w:jc w:val="both"/>
        <w:rPr>
          <w:rFonts w:cs="Arial"/>
          <w:szCs w:val="24"/>
        </w:rPr>
      </w:pPr>
      <w:r w:rsidRPr="003D54DD">
        <w:rPr>
          <w:rFonts w:cs="Arial"/>
          <w:szCs w:val="24"/>
        </w:rPr>
        <w:t xml:space="preserve">El importe presupuestado es de 3 millones de euros y abarca la posible toma de participación en sociedades para el Grupo Flisa con el objeto de reforzar su posicionamiento en el mercado (2 millones de euros) y </w:t>
      </w:r>
      <w:r w:rsidR="000932CC">
        <w:rPr>
          <w:rFonts w:cs="Arial"/>
          <w:szCs w:val="24"/>
        </w:rPr>
        <w:t xml:space="preserve">para </w:t>
      </w:r>
      <w:r w:rsidRPr="003D54DD">
        <w:rPr>
          <w:rFonts w:cs="Arial"/>
          <w:szCs w:val="24"/>
        </w:rPr>
        <w:t xml:space="preserve">el proyecto de internacionalización (1 millón de euros). </w:t>
      </w:r>
    </w:p>
    <w:p w:rsidR="006B7104" w:rsidRPr="003D54DD" w:rsidRDefault="006B7104" w:rsidP="006B7104">
      <w:pPr>
        <w:tabs>
          <w:tab w:val="left" w:pos="720"/>
        </w:tabs>
        <w:jc w:val="both"/>
        <w:rPr>
          <w:rFonts w:cs="Arial"/>
          <w:b/>
          <w:szCs w:val="24"/>
        </w:rPr>
      </w:pPr>
    </w:p>
    <w:p w:rsidR="006B7104" w:rsidRPr="003D54DD" w:rsidRDefault="006B7104" w:rsidP="006B7104">
      <w:pPr>
        <w:tabs>
          <w:tab w:val="left" w:pos="720"/>
        </w:tabs>
        <w:jc w:val="both"/>
        <w:rPr>
          <w:rFonts w:cs="Arial"/>
          <w:b/>
          <w:szCs w:val="24"/>
        </w:rPr>
      </w:pPr>
      <w:r w:rsidRPr="003D54DD">
        <w:rPr>
          <w:rFonts w:cs="Arial"/>
          <w:b/>
          <w:szCs w:val="24"/>
        </w:rPr>
        <w:t>Nuevos proyectos / tiendas / centros</w:t>
      </w:r>
    </w:p>
    <w:p w:rsidR="006B7104" w:rsidRPr="003D54DD" w:rsidRDefault="006B7104" w:rsidP="006B7104">
      <w:pPr>
        <w:tabs>
          <w:tab w:val="left" w:pos="720"/>
        </w:tabs>
        <w:jc w:val="both"/>
        <w:rPr>
          <w:rFonts w:cs="Arial"/>
          <w:szCs w:val="24"/>
        </w:rPr>
      </w:pPr>
    </w:p>
    <w:p w:rsidR="006B7104" w:rsidRPr="003D54DD" w:rsidRDefault="006B7104" w:rsidP="006B7104">
      <w:pPr>
        <w:tabs>
          <w:tab w:val="left" w:pos="720"/>
        </w:tabs>
        <w:jc w:val="both"/>
        <w:rPr>
          <w:rFonts w:cs="Arial"/>
          <w:szCs w:val="24"/>
        </w:rPr>
      </w:pPr>
      <w:r w:rsidRPr="003D54DD">
        <w:rPr>
          <w:rFonts w:cs="Arial"/>
          <w:szCs w:val="24"/>
        </w:rPr>
        <w:t>Se ha previsto una cifra de inversión de 2,3 millones de euros, destacando:</w:t>
      </w:r>
    </w:p>
    <w:p w:rsidR="006B7104" w:rsidRPr="003D54DD" w:rsidRDefault="006B7104" w:rsidP="006B7104">
      <w:pPr>
        <w:tabs>
          <w:tab w:val="left" w:pos="720"/>
        </w:tabs>
        <w:jc w:val="both"/>
        <w:rPr>
          <w:rFonts w:cs="Arial"/>
          <w:szCs w:val="24"/>
        </w:rPr>
      </w:pPr>
    </w:p>
    <w:p w:rsidR="00A80A65" w:rsidRPr="003D54DD" w:rsidRDefault="00A80A65"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De manera transversal a todo el Grupo se ha considerado una inversión de un millón de euros para el proyecto de marca única.</w:t>
      </w:r>
    </w:p>
    <w:p w:rsidR="006B7104" w:rsidRPr="003D54DD" w:rsidRDefault="006B7104" w:rsidP="00865401">
      <w:pPr>
        <w:numPr>
          <w:ilvl w:val="0"/>
          <w:numId w:val="15"/>
        </w:numPr>
        <w:tabs>
          <w:tab w:val="clear" w:pos="720"/>
          <w:tab w:val="num" w:pos="360"/>
        </w:tabs>
        <w:autoSpaceDE w:val="0"/>
        <w:autoSpaceDN w:val="0"/>
        <w:adjustRightInd w:val="0"/>
        <w:ind w:left="360"/>
        <w:jc w:val="both"/>
        <w:rPr>
          <w:rFonts w:cs="Arial"/>
          <w:strike/>
          <w:szCs w:val="24"/>
        </w:rPr>
      </w:pPr>
      <w:r w:rsidRPr="003D54DD">
        <w:rPr>
          <w:rFonts w:cs="Arial"/>
          <w:szCs w:val="24"/>
        </w:rPr>
        <w:t>FMV + MLV: Inversiones necesarias para el proyecto del nuevo modelo de Ford, S-Max (0,6 millones de euros).</w:t>
      </w:r>
    </w:p>
    <w:p w:rsidR="006B7104" w:rsidRPr="003D54DD" w:rsidRDefault="006B7104"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Galenas: Apertura de un Carrefour Express (0,3 millones de euros) y apertura de 5 tiendas (0,1 millones de euros).</w:t>
      </w:r>
    </w:p>
    <w:p w:rsidR="006B7104" w:rsidRPr="003D54DD" w:rsidRDefault="006B7104"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Personalia: Inversiones para el desarrollo de nuevos proyectos de servicios de proximidad, tel</w:t>
      </w:r>
      <w:r w:rsidR="000932CC">
        <w:rPr>
          <w:rFonts w:cs="Arial"/>
          <w:szCs w:val="24"/>
        </w:rPr>
        <w:t>easistencia y ayuda a domicilio</w:t>
      </w:r>
      <w:r w:rsidRPr="003D54DD">
        <w:rPr>
          <w:rFonts w:cs="Arial"/>
          <w:szCs w:val="24"/>
        </w:rPr>
        <w:t xml:space="preserve"> </w:t>
      </w:r>
      <w:r w:rsidR="00B45C11" w:rsidRPr="003D54DD">
        <w:rPr>
          <w:rFonts w:cs="Arial"/>
          <w:szCs w:val="24"/>
        </w:rPr>
        <w:t>(</w:t>
      </w:r>
      <w:r w:rsidRPr="003D54DD">
        <w:rPr>
          <w:rFonts w:cs="Arial"/>
          <w:szCs w:val="24"/>
        </w:rPr>
        <w:t>por 0,2 millones de euros</w:t>
      </w:r>
      <w:r w:rsidR="00B45C11" w:rsidRPr="003D54DD">
        <w:rPr>
          <w:rFonts w:cs="Arial"/>
          <w:szCs w:val="24"/>
        </w:rPr>
        <w:t>)</w:t>
      </w:r>
      <w:r w:rsidRPr="003D54DD">
        <w:rPr>
          <w:rFonts w:cs="Arial"/>
          <w:szCs w:val="24"/>
        </w:rPr>
        <w:t>, y para la apertura de un nuevo centro en gestión (0,1 millones de euros).</w:t>
      </w:r>
    </w:p>
    <w:p w:rsidR="006B7104" w:rsidRPr="003D54DD" w:rsidRDefault="006B7104" w:rsidP="002E4F15">
      <w:pPr>
        <w:tabs>
          <w:tab w:val="left" w:pos="720"/>
        </w:tabs>
        <w:jc w:val="both"/>
        <w:rPr>
          <w:rFonts w:cs="Arial"/>
          <w:b/>
          <w:szCs w:val="24"/>
        </w:rPr>
      </w:pPr>
    </w:p>
    <w:p w:rsidR="002E4F15" w:rsidRPr="003D54DD" w:rsidRDefault="002E4F15" w:rsidP="002E4F15">
      <w:pPr>
        <w:tabs>
          <w:tab w:val="left" w:pos="720"/>
        </w:tabs>
        <w:jc w:val="both"/>
        <w:rPr>
          <w:rFonts w:cs="Arial"/>
          <w:b/>
          <w:szCs w:val="24"/>
        </w:rPr>
      </w:pPr>
      <w:r w:rsidRPr="003D54DD">
        <w:rPr>
          <w:rFonts w:cs="Arial"/>
          <w:b/>
          <w:szCs w:val="24"/>
        </w:rPr>
        <w:t>Inversión en ropa destinada al alquiler</w:t>
      </w:r>
    </w:p>
    <w:p w:rsidR="002E4F15" w:rsidRPr="003D54DD" w:rsidRDefault="002E4F15" w:rsidP="002E4F15">
      <w:pPr>
        <w:tabs>
          <w:tab w:val="left" w:pos="720"/>
        </w:tabs>
        <w:jc w:val="both"/>
        <w:rPr>
          <w:rFonts w:cs="Arial"/>
          <w:szCs w:val="24"/>
        </w:rPr>
      </w:pPr>
    </w:p>
    <w:p w:rsidR="002E4F15" w:rsidRPr="003D54DD" w:rsidRDefault="002E4F15" w:rsidP="002E4F15">
      <w:pPr>
        <w:tabs>
          <w:tab w:val="left" w:pos="720"/>
        </w:tabs>
        <w:jc w:val="both"/>
        <w:rPr>
          <w:rFonts w:cs="Arial"/>
          <w:szCs w:val="24"/>
        </w:rPr>
      </w:pPr>
      <w:r w:rsidRPr="003D54DD">
        <w:rPr>
          <w:rFonts w:cs="Arial"/>
          <w:szCs w:val="24"/>
        </w:rPr>
        <w:t>Para el Grupo Flisa se ha previsto una inversión de 2 millones de euros.</w:t>
      </w:r>
    </w:p>
    <w:p w:rsidR="002E4F15" w:rsidRPr="003D54DD" w:rsidRDefault="002E4F15" w:rsidP="002E4F15">
      <w:pPr>
        <w:tabs>
          <w:tab w:val="left" w:pos="720"/>
        </w:tabs>
        <w:jc w:val="both"/>
        <w:rPr>
          <w:rFonts w:cs="Arial"/>
          <w:szCs w:val="24"/>
        </w:rPr>
      </w:pPr>
    </w:p>
    <w:p w:rsidR="004B67DA" w:rsidRPr="003D54DD" w:rsidRDefault="004B67DA" w:rsidP="004B67DA">
      <w:pPr>
        <w:tabs>
          <w:tab w:val="left" w:pos="720"/>
        </w:tabs>
        <w:jc w:val="both"/>
        <w:rPr>
          <w:rFonts w:cs="Arial"/>
          <w:b/>
          <w:szCs w:val="24"/>
        </w:rPr>
      </w:pPr>
      <w:r w:rsidRPr="003D54DD">
        <w:rPr>
          <w:rFonts w:cs="Arial"/>
          <w:b/>
          <w:szCs w:val="24"/>
        </w:rPr>
        <w:t>Aplicaciones informáticas</w:t>
      </w:r>
    </w:p>
    <w:p w:rsidR="004B67DA" w:rsidRPr="003D54DD" w:rsidRDefault="004B67DA" w:rsidP="004B67DA">
      <w:pPr>
        <w:tabs>
          <w:tab w:val="left" w:pos="720"/>
        </w:tabs>
        <w:jc w:val="both"/>
        <w:rPr>
          <w:rFonts w:cs="Arial"/>
          <w:b/>
          <w:szCs w:val="24"/>
        </w:rPr>
      </w:pPr>
    </w:p>
    <w:p w:rsidR="004B67DA" w:rsidRPr="003D54DD" w:rsidRDefault="004B67DA" w:rsidP="004B67DA">
      <w:pPr>
        <w:tabs>
          <w:tab w:val="left" w:pos="720"/>
        </w:tabs>
        <w:jc w:val="both"/>
        <w:rPr>
          <w:rFonts w:cs="Arial"/>
          <w:szCs w:val="24"/>
        </w:rPr>
      </w:pPr>
      <w:r w:rsidRPr="003D54DD">
        <w:rPr>
          <w:rFonts w:cs="Arial"/>
          <w:szCs w:val="24"/>
        </w:rPr>
        <w:t>Se ha destinado una partida presupuestaria que asciende a 1,</w:t>
      </w:r>
      <w:r w:rsidR="006B7104" w:rsidRPr="003D54DD">
        <w:rPr>
          <w:rFonts w:cs="Arial"/>
          <w:szCs w:val="24"/>
        </w:rPr>
        <w:t>5</w:t>
      </w:r>
      <w:r w:rsidRPr="003D54DD">
        <w:rPr>
          <w:rFonts w:cs="Arial"/>
          <w:szCs w:val="24"/>
        </w:rPr>
        <w:t xml:space="preserve"> millones de euros, destacando:</w:t>
      </w:r>
    </w:p>
    <w:p w:rsidR="004B67DA" w:rsidRPr="003D54DD" w:rsidRDefault="004B67DA" w:rsidP="004B67DA">
      <w:pPr>
        <w:tabs>
          <w:tab w:val="left" w:pos="720"/>
        </w:tabs>
        <w:jc w:val="both"/>
        <w:rPr>
          <w:rFonts w:cs="Arial"/>
          <w:b/>
          <w:szCs w:val="24"/>
        </w:rPr>
      </w:pPr>
    </w:p>
    <w:p w:rsidR="004B67DA" w:rsidRPr="003D54DD" w:rsidRDefault="004B67DA"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Fundosa Grupo: Se ha contemplado una partida de 0,</w:t>
      </w:r>
      <w:r w:rsidR="006B7104" w:rsidRPr="003D54DD">
        <w:rPr>
          <w:rFonts w:cs="Arial"/>
          <w:szCs w:val="24"/>
        </w:rPr>
        <w:t>9</w:t>
      </w:r>
      <w:r w:rsidRPr="003D54DD">
        <w:rPr>
          <w:rFonts w:cs="Arial"/>
          <w:szCs w:val="24"/>
        </w:rPr>
        <w:t xml:space="preserve"> millones de euros, </w:t>
      </w:r>
      <w:r w:rsidR="00B45C11" w:rsidRPr="003D54DD">
        <w:rPr>
          <w:rFonts w:cs="Arial"/>
          <w:szCs w:val="24"/>
        </w:rPr>
        <w:t>destacando</w:t>
      </w:r>
      <w:r w:rsidRPr="003D54DD">
        <w:rPr>
          <w:rFonts w:cs="Arial"/>
          <w:szCs w:val="24"/>
        </w:rPr>
        <w:t xml:space="preserve"> 0,</w:t>
      </w:r>
      <w:r w:rsidR="00B45C11" w:rsidRPr="003D54DD">
        <w:rPr>
          <w:rFonts w:cs="Arial"/>
          <w:szCs w:val="24"/>
        </w:rPr>
        <w:t>8</w:t>
      </w:r>
      <w:r w:rsidRPr="003D54DD">
        <w:rPr>
          <w:rFonts w:cs="Arial"/>
          <w:szCs w:val="24"/>
        </w:rPr>
        <w:t xml:space="preserve"> millones </w:t>
      </w:r>
      <w:r w:rsidR="00B45C11" w:rsidRPr="003D54DD">
        <w:rPr>
          <w:rFonts w:cs="Arial"/>
          <w:szCs w:val="24"/>
        </w:rPr>
        <w:t xml:space="preserve">que </w:t>
      </w:r>
      <w:r w:rsidR="006B7104" w:rsidRPr="003D54DD">
        <w:rPr>
          <w:rFonts w:cs="Arial"/>
          <w:szCs w:val="24"/>
        </w:rPr>
        <w:t>se aplicarán a</w:t>
      </w:r>
      <w:r w:rsidRPr="003D54DD">
        <w:rPr>
          <w:rFonts w:cs="Arial"/>
          <w:szCs w:val="24"/>
        </w:rPr>
        <w:t xml:space="preserve"> la implantación de nuevas herramientas</w:t>
      </w:r>
      <w:r w:rsidR="005B767F" w:rsidRPr="003D54DD">
        <w:rPr>
          <w:rFonts w:cs="Arial"/>
          <w:szCs w:val="24"/>
        </w:rPr>
        <w:t>, principalmente relacionadas con la aplicación SAP y en menor medida CRM,</w:t>
      </w:r>
      <w:r w:rsidRPr="003D54DD">
        <w:rPr>
          <w:rFonts w:cs="Arial"/>
          <w:szCs w:val="24"/>
        </w:rPr>
        <w:t xml:space="preserve"> y 0,</w:t>
      </w:r>
      <w:r w:rsidR="005B767F" w:rsidRPr="003D54DD">
        <w:rPr>
          <w:rFonts w:cs="Arial"/>
          <w:szCs w:val="24"/>
        </w:rPr>
        <w:t>1</w:t>
      </w:r>
      <w:r w:rsidRPr="003D54DD">
        <w:rPr>
          <w:rFonts w:cs="Arial"/>
          <w:szCs w:val="24"/>
        </w:rPr>
        <w:t xml:space="preserve"> millones </w:t>
      </w:r>
      <w:r w:rsidR="00B45C11" w:rsidRPr="003D54DD">
        <w:rPr>
          <w:rFonts w:cs="Arial"/>
          <w:szCs w:val="24"/>
        </w:rPr>
        <w:t>asignadas</w:t>
      </w:r>
      <w:r w:rsidR="005B767F" w:rsidRPr="003D54DD">
        <w:rPr>
          <w:rFonts w:cs="Arial"/>
          <w:szCs w:val="24"/>
        </w:rPr>
        <w:t xml:space="preserve"> </w:t>
      </w:r>
      <w:r w:rsidR="00B45C11" w:rsidRPr="003D54DD">
        <w:rPr>
          <w:rFonts w:cs="Arial"/>
          <w:szCs w:val="24"/>
        </w:rPr>
        <w:t>a</w:t>
      </w:r>
      <w:r w:rsidR="005B767F" w:rsidRPr="003D54DD">
        <w:rPr>
          <w:rFonts w:cs="Arial"/>
          <w:szCs w:val="24"/>
        </w:rPr>
        <w:t>l impacto previsto en los sistemas de la nueva marca del Grupo Empresarial</w:t>
      </w:r>
      <w:r w:rsidRPr="003D54DD">
        <w:rPr>
          <w:rFonts w:cs="Arial"/>
          <w:szCs w:val="24"/>
        </w:rPr>
        <w:t>.</w:t>
      </w:r>
    </w:p>
    <w:p w:rsidR="004B67DA" w:rsidRPr="003D54DD" w:rsidRDefault="004B67DA"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 xml:space="preserve">Grupo Flisa: </w:t>
      </w:r>
      <w:r w:rsidR="00990D49" w:rsidRPr="003D54DD">
        <w:rPr>
          <w:rFonts w:cs="Arial"/>
          <w:szCs w:val="24"/>
        </w:rPr>
        <w:t>D</w:t>
      </w:r>
      <w:r w:rsidRPr="003D54DD">
        <w:rPr>
          <w:rFonts w:cs="Arial"/>
          <w:szCs w:val="24"/>
        </w:rPr>
        <w:t xml:space="preserve">esarrollos informáticos </w:t>
      </w:r>
      <w:r w:rsidR="00990D49" w:rsidRPr="003D54DD">
        <w:rPr>
          <w:rFonts w:cs="Arial"/>
          <w:szCs w:val="24"/>
        </w:rPr>
        <w:t xml:space="preserve">relacionados con su actividad </w:t>
      </w:r>
      <w:r w:rsidRPr="003D54DD">
        <w:rPr>
          <w:rFonts w:cs="Arial"/>
          <w:szCs w:val="24"/>
        </w:rPr>
        <w:t>(0,</w:t>
      </w:r>
      <w:r w:rsidR="00990D49" w:rsidRPr="003D54DD">
        <w:rPr>
          <w:rFonts w:cs="Arial"/>
          <w:szCs w:val="24"/>
        </w:rPr>
        <w:t>4</w:t>
      </w:r>
      <w:r w:rsidRPr="003D54DD">
        <w:rPr>
          <w:rFonts w:cs="Arial"/>
          <w:szCs w:val="24"/>
        </w:rPr>
        <w:t xml:space="preserve"> millones de euros).</w:t>
      </w:r>
    </w:p>
    <w:p w:rsidR="004B67DA" w:rsidRPr="003D54DD" w:rsidRDefault="004B67DA" w:rsidP="00865401">
      <w:pPr>
        <w:numPr>
          <w:ilvl w:val="0"/>
          <w:numId w:val="15"/>
        </w:numPr>
        <w:tabs>
          <w:tab w:val="clear" w:pos="720"/>
          <w:tab w:val="num" w:pos="360"/>
        </w:tabs>
        <w:autoSpaceDE w:val="0"/>
        <w:autoSpaceDN w:val="0"/>
        <w:adjustRightInd w:val="0"/>
        <w:ind w:left="360"/>
        <w:jc w:val="both"/>
        <w:rPr>
          <w:rFonts w:cs="Arial"/>
          <w:szCs w:val="24"/>
        </w:rPr>
      </w:pPr>
      <w:r w:rsidRPr="003D54DD">
        <w:rPr>
          <w:rFonts w:cs="Arial"/>
          <w:szCs w:val="24"/>
        </w:rPr>
        <w:t>Technosite: Ampliación y mantenimiento de sistemas informáticos (0,1 millones de euros).</w:t>
      </w:r>
    </w:p>
    <w:p w:rsidR="004B67DA" w:rsidRPr="003D54DD" w:rsidRDefault="004B67DA" w:rsidP="00692B5D">
      <w:pPr>
        <w:tabs>
          <w:tab w:val="left" w:pos="720"/>
        </w:tabs>
        <w:jc w:val="both"/>
        <w:rPr>
          <w:rFonts w:cs="Arial"/>
          <w:b/>
          <w:szCs w:val="24"/>
        </w:rPr>
      </w:pPr>
    </w:p>
    <w:p w:rsidR="00295BD0" w:rsidRPr="003D54DD" w:rsidRDefault="000932CC" w:rsidP="00295BD0">
      <w:pPr>
        <w:tabs>
          <w:tab w:val="left" w:pos="720"/>
        </w:tabs>
        <w:jc w:val="both"/>
        <w:rPr>
          <w:rFonts w:cs="Arial"/>
          <w:b/>
          <w:szCs w:val="24"/>
        </w:rPr>
      </w:pPr>
      <w:r>
        <w:rPr>
          <w:rFonts w:cs="Arial"/>
          <w:b/>
          <w:szCs w:val="24"/>
        </w:rPr>
        <w:br w:type="page"/>
      </w:r>
      <w:r w:rsidR="00295BD0" w:rsidRPr="003D54DD">
        <w:rPr>
          <w:rFonts w:cs="Arial"/>
          <w:b/>
          <w:szCs w:val="24"/>
        </w:rPr>
        <w:lastRenderedPageBreak/>
        <w:t xml:space="preserve">Nuevos edificios y naves industriales </w:t>
      </w:r>
    </w:p>
    <w:p w:rsidR="00295BD0" w:rsidRPr="003D54DD" w:rsidRDefault="00295BD0" w:rsidP="00295BD0">
      <w:pPr>
        <w:tabs>
          <w:tab w:val="left" w:pos="720"/>
        </w:tabs>
        <w:ind w:left="360"/>
        <w:jc w:val="both"/>
        <w:rPr>
          <w:rFonts w:cs="Arial"/>
          <w:b/>
          <w:szCs w:val="24"/>
          <w:u w:val="single"/>
        </w:rPr>
      </w:pPr>
    </w:p>
    <w:p w:rsidR="00295BD0" w:rsidRPr="003D54DD" w:rsidRDefault="00295BD0" w:rsidP="00295BD0">
      <w:pPr>
        <w:autoSpaceDE w:val="0"/>
        <w:autoSpaceDN w:val="0"/>
        <w:adjustRightInd w:val="0"/>
        <w:jc w:val="both"/>
        <w:rPr>
          <w:rFonts w:cs="Arial"/>
          <w:szCs w:val="24"/>
        </w:rPr>
      </w:pPr>
      <w:r w:rsidRPr="003D54DD">
        <w:rPr>
          <w:rFonts w:cs="Arial"/>
          <w:szCs w:val="24"/>
        </w:rPr>
        <w:t xml:space="preserve">La sociedad FMV tiene prevista la construcción de una nave por 0,9 millones de euros. Por otra parte, se ha previsto la venta de </w:t>
      </w:r>
      <w:r w:rsidR="00A80A65" w:rsidRPr="003D54DD">
        <w:rPr>
          <w:rFonts w:cs="Arial"/>
          <w:szCs w:val="24"/>
        </w:rPr>
        <w:t>naves</w:t>
      </w:r>
      <w:r w:rsidR="000932CC">
        <w:rPr>
          <w:rFonts w:cs="Arial"/>
          <w:szCs w:val="24"/>
        </w:rPr>
        <w:t>/oficinas</w:t>
      </w:r>
      <w:r w:rsidR="00A80A65" w:rsidRPr="003D54DD">
        <w:rPr>
          <w:rFonts w:cs="Arial"/>
          <w:szCs w:val="24"/>
        </w:rPr>
        <w:t xml:space="preserve"> cuyo valor ascendería a </w:t>
      </w:r>
      <w:r w:rsidR="000B0BDF" w:rsidRPr="003D54DD">
        <w:rPr>
          <w:rFonts w:cs="Arial"/>
          <w:szCs w:val="24"/>
        </w:rPr>
        <w:t>1,4</w:t>
      </w:r>
      <w:r w:rsidR="00A80A65" w:rsidRPr="003D54DD">
        <w:rPr>
          <w:rFonts w:cs="Arial"/>
          <w:szCs w:val="24"/>
        </w:rPr>
        <w:t xml:space="preserve"> millones de euros.</w:t>
      </w:r>
      <w:r w:rsidRPr="003D54DD">
        <w:rPr>
          <w:rFonts w:cs="Arial"/>
          <w:szCs w:val="24"/>
        </w:rPr>
        <w:t xml:space="preserve"> </w:t>
      </w:r>
    </w:p>
    <w:p w:rsidR="00692B5D" w:rsidRPr="003D54DD" w:rsidRDefault="00692B5D" w:rsidP="00692B5D">
      <w:pPr>
        <w:tabs>
          <w:tab w:val="left" w:pos="720"/>
        </w:tabs>
        <w:jc w:val="both"/>
        <w:rPr>
          <w:rFonts w:cs="Arial"/>
          <w:b/>
          <w:szCs w:val="24"/>
        </w:rPr>
      </w:pPr>
    </w:p>
    <w:p w:rsidR="00692B5D" w:rsidRPr="003D54DD" w:rsidRDefault="00692B5D" w:rsidP="00692B5D">
      <w:pPr>
        <w:tabs>
          <w:tab w:val="left" w:pos="720"/>
        </w:tabs>
        <w:jc w:val="both"/>
        <w:rPr>
          <w:rFonts w:cs="Arial"/>
          <w:b/>
          <w:szCs w:val="24"/>
        </w:rPr>
      </w:pPr>
      <w:r w:rsidRPr="003D54DD">
        <w:rPr>
          <w:rFonts w:cs="Arial"/>
          <w:b/>
          <w:szCs w:val="24"/>
        </w:rPr>
        <w:t>Equipos informáticos (Hardware)</w:t>
      </w:r>
    </w:p>
    <w:p w:rsidR="00692B5D" w:rsidRPr="003D54DD" w:rsidRDefault="00692B5D" w:rsidP="00692B5D">
      <w:pPr>
        <w:tabs>
          <w:tab w:val="left" w:pos="720"/>
        </w:tabs>
        <w:jc w:val="both"/>
        <w:rPr>
          <w:rFonts w:cs="Arial"/>
          <w:szCs w:val="24"/>
        </w:rPr>
      </w:pPr>
    </w:p>
    <w:p w:rsidR="00692B5D" w:rsidRPr="003D54DD" w:rsidRDefault="00692B5D" w:rsidP="00692B5D">
      <w:pPr>
        <w:tabs>
          <w:tab w:val="left" w:pos="720"/>
        </w:tabs>
        <w:jc w:val="both"/>
        <w:rPr>
          <w:rFonts w:cs="Arial"/>
          <w:szCs w:val="24"/>
        </w:rPr>
      </w:pPr>
      <w:r w:rsidRPr="003D54DD">
        <w:rPr>
          <w:rFonts w:cs="Arial"/>
          <w:szCs w:val="24"/>
        </w:rPr>
        <w:t>La inversión prevista en este epígrafe asciende a 0,</w:t>
      </w:r>
      <w:r w:rsidR="00295BD0" w:rsidRPr="003D54DD">
        <w:rPr>
          <w:rFonts w:cs="Arial"/>
          <w:szCs w:val="24"/>
        </w:rPr>
        <w:t xml:space="preserve">2 </w:t>
      </w:r>
      <w:r w:rsidRPr="003D54DD">
        <w:rPr>
          <w:rFonts w:cs="Arial"/>
          <w:szCs w:val="24"/>
        </w:rPr>
        <w:t>millones de euros incluyéndose en este importe la renovación de equipos y los nuevos puestos.</w:t>
      </w:r>
    </w:p>
    <w:p w:rsidR="00692B5D" w:rsidRPr="003D54DD" w:rsidRDefault="00692B5D" w:rsidP="00692B5D">
      <w:pPr>
        <w:tabs>
          <w:tab w:val="left" w:pos="720"/>
        </w:tabs>
        <w:jc w:val="both"/>
        <w:rPr>
          <w:rFonts w:cs="Arial"/>
          <w:szCs w:val="24"/>
        </w:rPr>
      </w:pPr>
    </w:p>
    <w:p w:rsidR="00692B5D" w:rsidRPr="003D54DD" w:rsidRDefault="00692B5D" w:rsidP="00692B5D">
      <w:pPr>
        <w:tabs>
          <w:tab w:val="left" w:pos="720"/>
        </w:tabs>
        <w:jc w:val="both"/>
        <w:rPr>
          <w:rFonts w:cs="Arial"/>
          <w:b/>
          <w:szCs w:val="24"/>
        </w:rPr>
      </w:pPr>
      <w:r w:rsidRPr="003D54DD">
        <w:rPr>
          <w:rFonts w:cs="Arial"/>
          <w:b/>
          <w:szCs w:val="24"/>
        </w:rPr>
        <w:t>Mobiliario y otras inversiones</w:t>
      </w:r>
    </w:p>
    <w:p w:rsidR="00692B5D" w:rsidRPr="003D54DD" w:rsidRDefault="00692B5D" w:rsidP="00692B5D">
      <w:pPr>
        <w:tabs>
          <w:tab w:val="left" w:pos="720"/>
        </w:tabs>
        <w:jc w:val="both"/>
        <w:rPr>
          <w:rFonts w:cs="Arial"/>
          <w:szCs w:val="24"/>
        </w:rPr>
      </w:pPr>
    </w:p>
    <w:p w:rsidR="00692B5D" w:rsidRPr="003D54DD" w:rsidRDefault="00692B5D" w:rsidP="00692B5D">
      <w:pPr>
        <w:tabs>
          <w:tab w:val="left" w:pos="720"/>
        </w:tabs>
        <w:jc w:val="both"/>
        <w:rPr>
          <w:rFonts w:cs="Arial"/>
          <w:szCs w:val="24"/>
        </w:rPr>
      </w:pPr>
      <w:r w:rsidRPr="003D54DD">
        <w:rPr>
          <w:rFonts w:cs="Arial"/>
          <w:szCs w:val="24"/>
        </w:rPr>
        <w:t>Se ha previsto una partida presupuestaria de 0,1 millones de euros.</w:t>
      </w:r>
    </w:p>
    <w:p w:rsidR="009B7549" w:rsidRPr="003D54DD" w:rsidRDefault="009B7549" w:rsidP="009B7549">
      <w:pPr>
        <w:tabs>
          <w:tab w:val="left" w:pos="720"/>
        </w:tabs>
        <w:ind w:left="360"/>
      </w:pPr>
    </w:p>
    <w:p w:rsidR="00F2370C" w:rsidRPr="003D54DD" w:rsidRDefault="00F2370C" w:rsidP="009B7549">
      <w:pPr>
        <w:tabs>
          <w:tab w:val="left" w:pos="720"/>
        </w:tabs>
        <w:ind w:left="360"/>
      </w:pPr>
    </w:p>
    <w:p w:rsidR="006231AF" w:rsidRPr="00BF7448" w:rsidRDefault="006231AF" w:rsidP="00750EB7">
      <w:pPr>
        <w:pStyle w:val="Sangradetextonormal"/>
        <w:numPr>
          <w:ilvl w:val="0"/>
          <w:numId w:val="14"/>
        </w:numPr>
        <w:jc w:val="both"/>
        <w:outlineLvl w:val="2"/>
        <w:rPr>
          <w:rFonts w:cs="Arial"/>
          <w:b/>
          <w:color w:val="016FB8"/>
          <w:szCs w:val="24"/>
          <w:u w:val="single"/>
        </w:rPr>
      </w:pPr>
      <w:bookmarkStart w:id="36" w:name="_Toc403984318"/>
      <w:r w:rsidRPr="00BF7448">
        <w:rPr>
          <w:rFonts w:cs="Arial"/>
          <w:b/>
          <w:color w:val="016FB8"/>
          <w:szCs w:val="24"/>
          <w:u w:val="single"/>
        </w:rPr>
        <w:t>Financiación</w:t>
      </w:r>
      <w:bookmarkEnd w:id="36"/>
    </w:p>
    <w:p w:rsidR="006231AF" w:rsidRPr="003D54DD" w:rsidRDefault="006231AF" w:rsidP="00C95345">
      <w:pPr>
        <w:pStyle w:val="Sangradetextonormal"/>
        <w:ind w:left="0" w:firstLine="0"/>
        <w:jc w:val="both"/>
        <w:rPr>
          <w:rFonts w:cs="Arial"/>
          <w:szCs w:val="24"/>
          <w:u w:val="single"/>
        </w:rPr>
      </w:pPr>
    </w:p>
    <w:p w:rsidR="00692B5D" w:rsidRPr="003D54DD" w:rsidRDefault="00692B5D" w:rsidP="00692B5D">
      <w:pPr>
        <w:tabs>
          <w:tab w:val="left" w:pos="720"/>
        </w:tabs>
        <w:jc w:val="both"/>
        <w:rPr>
          <w:rFonts w:cs="Arial"/>
          <w:szCs w:val="24"/>
        </w:rPr>
      </w:pPr>
      <w:r w:rsidRPr="003D54DD">
        <w:rPr>
          <w:rFonts w:cs="Arial"/>
          <w:szCs w:val="24"/>
        </w:rPr>
        <w:t>En el capítulo de financiación cabe destacar lo siguiente:</w:t>
      </w:r>
    </w:p>
    <w:p w:rsidR="00692B5D" w:rsidRPr="003D54DD" w:rsidRDefault="00692B5D" w:rsidP="00692B5D">
      <w:pPr>
        <w:tabs>
          <w:tab w:val="left" w:pos="720"/>
        </w:tabs>
        <w:ind w:left="342"/>
        <w:jc w:val="both"/>
        <w:rPr>
          <w:rFonts w:cs="Arial"/>
          <w:szCs w:val="24"/>
        </w:rPr>
      </w:pPr>
    </w:p>
    <w:p w:rsidR="00692B5D" w:rsidRPr="003D54DD" w:rsidRDefault="00692B5D" w:rsidP="00865401">
      <w:pPr>
        <w:pStyle w:val="Textoindependiente"/>
        <w:numPr>
          <w:ilvl w:val="0"/>
          <w:numId w:val="8"/>
        </w:numPr>
        <w:autoSpaceDE w:val="0"/>
        <w:autoSpaceDN w:val="0"/>
        <w:adjustRightInd w:val="0"/>
        <w:jc w:val="both"/>
        <w:rPr>
          <w:rFonts w:cs="Arial"/>
          <w:b w:val="0"/>
          <w:sz w:val="24"/>
          <w:szCs w:val="24"/>
        </w:rPr>
      </w:pPr>
      <w:r w:rsidRPr="003D54DD">
        <w:rPr>
          <w:rFonts w:cs="Arial"/>
          <w:b w:val="0"/>
          <w:sz w:val="24"/>
          <w:szCs w:val="24"/>
        </w:rPr>
        <w:t>Se prevé que en el ejercicio 201</w:t>
      </w:r>
      <w:r w:rsidR="00B45C11" w:rsidRPr="003D54DD">
        <w:rPr>
          <w:rFonts w:cs="Arial"/>
          <w:b w:val="0"/>
          <w:sz w:val="24"/>
          <w:szCs w:val="24"/>
        </w:rPr>
        <w:t>4</w:t>
      </w:r>
      <w:r w:rsidRPr="003D54DD">
        <w:rPr>
          <w:rFonts w:cs="Arial"/>
          <w:b w:val="0"/>
          <w:sz w:val="24"/>
          <w:szCs w:val="24"/>
        </w:rPr>
        <w:t xml:space="preserve"> el Grupo Fundosa cumpla con los límites máximos de endeudamiento aprobados por el Consejo General de la ONCE y su Fundación. </w:t>
      </w:r>
    </w:p>
    <w:p w:rsidR="00692B5D" w:rsidRPr="003D54DD" w:rsidRDefault="00692B5D" w:rsidP="00692B5D">
      <w:pPr>
        <w:ind w:left="339"/>
        <w:jc w:val="both"/>
        <w:rPr>
          <w:rFonts w:cs="Arial"/>
          <w:szCs w:val="24"/>
        </w:rPr>
      </w:pPr>
    </w:p>
    <w:p w:rsidR="00692B5D" w:rsidRPr="003D54DD" w:rsidRDefault="00692B5D" w:rsidP="00865401">
      <w:pPr>
        <w:pStyle w:val="Textoindependiente"/>
        <w:numPr>
          <w:ilvl w:val="0"/>
          <w:numId w:val="8"/>
        </w:numPr>
        <w:autoSpaceDE w:val="0"/>
        <w:autoSpaceDN w:val="0"/>
        <w:adjustRightInd w:val="0"/>
        <w:jc w:val="both"/>
        <w:rPr>
          <w:rFonts w:cs="Arial"/>
          <w:b w:val="0"/>
          <w:sz w:val="24"/>
          <w:szCs w:val="24"/>
        </w:rPr>
      </w:pPr>
      <w:r w:rsidRPr="003D54DD">
        <w:rPr>
          <w:rFonts w:cs="Arial"/>
          <w:b w:val="0"/>
          <w:sz w:val="24"/>
          <w:szCs w:val="24"/>
        </w:rPr>
        <w:t>El Plan de Actuación de 201</w:t>
      </w:r>
      <w:r w:rsidR="00B45C11" w:rsidRPr="003D54DD">
        <w:rPr>
          <w:rFonts w:cs="Arial"/>
          <w:b w:val="0"/>
          <w:sz w:val="24"/>
          <w:szCs w:val="24"/>
        </w:rPr>
        <w:t>4</w:t>
      </w:r>
      <w:r w:rsidRPr="003D54DD">
        <w:rPr>
          <w:rFonts w:cs="Arial"/>
          <w:b w:val="0"/>
          <w:sz w:val="24"/>
          <w:szCs w:val="24"/>
        </w:rPr>
        <w:t xml:space="preserve"> preveía unas necesidades de financiación de </w:t>
      </w:r>
      <w:r w:rsidR="00B45C11" w:rsidRPr="003D54DD">
        <w:rPr>
          <w:rFonts w:cs="Arial"/>
          <w:b w:val="0"/>
          <w:sz w:val="24"/>
          <w:szCs w:val="24"/>
        </w:rPr>
        <w:t>28,7</w:t>
      </w:r>
      <w:r w:rsidRPr="003D54DD">
        <w:rPr>
          <w:rFonts w:cs="Arial"/>
          <w:b w:val="0"/>
          <w:sz w:val="24"/>
          <w:szCs w:val="24"/>
        </w:rPr>
        <w:t xml:space="preserve"> millones de euros, que se estima que finalmente alcancen los </w:t>
      </w:r>
      <w:r w:rsidR="00B45C11" w:rsidRPr="003D54DD">
        <w:rPr>
          <w:rFonts w:cs="Arial"/>
          <w:b w:val="0"/>
          <w:sz w:val="24"/>
          <w:szCs w:val="24"/>
        </w:rPr>
        <w:t>13,4</w:t>
      </w:r>
      <w:r w:rsidRPr="003D54DD">
        <w:rPr>
          <w:rFonts w:cs="Arial"/>
          <w:b w:val="0"/>
          <w:sz w:val="24"/>
          <w:szCs w:val="24"/>
        </w:rPr>
        <w:t xml:space="preserve"> millones de euros. Entre las razones de esta desviación, cabe destacar:</w:t>
      </w:r>
    </w:p>
    <w:p w:rsidR="00692B5D" w:rsidRPr="003D54DD" w:rsidRDefault="00692B5D" w:rsidP="00692B5D">
      <w:pPr>
        <w:ind w:left="776"/>
        <w:jc w:val="both"/>
        <w:rPr>
          <w:rFonts w:cs="Arial"/>
          <w:szCs w:val="24"/>
        </w:rPr>
      </w:pPr>
    </w:p>
    <w:p w:rsidR="00BA0A73" w:rsidRPr="003D54DD" w:rsidRDefault="00BA0A73" w:rsidP="00BA0A73">
      <w:pPr>
        <w:numPr>
          <w:ilvl w:val="0"/>
          <w:numId w:val="4"/>
        </w:numPr>
        <w:jc w:val="both"/>
        <w:rPr>
          <w:rFonts w:cs="Arial"/>
          <w:szCs w:val="24"/>
        </w:rPr>
      </w:pPr>
      <w:r w:rsidRPr="003D54DD">
        <w:rPr>
          <w:rFonts w:cs="Arial"/>
          <w:szCs w:val="24"/>
        </w:rPr>
        <w:t>En febrero de 2014 se ha recibido un importante volumen de cobros de clientes de la administración pública, más de 20 millones de euros en el Grupo, dentro del plan de pago a proveedores aprobado por el Real Decreto 8/2013, de 28 de junio, de medidas urgentes contra la morosidad de las administraciones públicas.</w:t>
      </w:r>
    </w:p>
    <w:p w:rsidR="00BA0A73" w:rsidRPr="003D54DD" w:rsidRDefault="00BA0A73" w:rsidP="00BA0A73">
      <w:pPr>
        <w:pStyle w:val="Textoindependiente"/>
        <w:ind w:left="720"/>
        <w:jc w:val="both"/>
        <w:rPr>
          <w:rFonts w:cs="Arial"/>
          <w:b w:val="0"/>
          <w:sz w:val="24"/>
          <w:szCs w:val="24"/>
        </w:rPr>
      </w:pPr>
    </w:p>
    <w:p w:rsidR="00BA0A73" w:rsidRPr="003D54DD" w:rsidRDefault="00BA0A73" w:rsidP="00BA0A73">
      <w:pPr>
        <w:pStyle w:val="Textoindependiente"/>
        <w:numPr>
          <w:ilvl w:val="0"/>
          <w:numId w:val="4"/>
        </w:numPr>
        <w:jc w:val="both"/>
        <w:rPr>
          <w:rFonts w:cs="Arial"/>
          <w:b w:val="0"/>
          <w:sz w:val="24"/>
          <w:szCs w:val="24"/>
        </w:rPr>
      </w:pPr>
      <w:r w:rsidRPr="003D54DD">
        <w:rPr>
          <w:rFonts w:cs="Arial"/>
          <w:b w:val="0"/>
          <w:sz w:val="24"/>
          <w:szCs w:val="24"/>
        </w:rPr>
        <w:t>Además, se produce un efecto positivo en la tesorería como consecuencia de un menor volumen de inversiones respecto a lo previsto en 6,6 millones de euros.</w:t>
      </w:r>
    </w:p>
    <w:p w:rsidR="00BA0A73" w:rsidRPr="003D54DD" w:rsidRDefault="00BA0A73" w:rsidP="00BA0A73">
      <w:pPr>
        <w:pStyle w:val="Textoindependiente"/>
        <w:ind w:left="720"/>
        <w:jc w:val="both"/>
        <w:rPr>
          <w:rFonts w:cs="Arial"/>
          <w:b w:val="0"/>
          <w:sz w:val="24"/>
          <w:szCs w:val="24"/>
        </w:rPr>
      </w:pPr>
    </w:p>
    <w:p w:rsidR="00692B5D" w:rsidRPr="003D54DD" w:rsidRDefault="00BA0A73" w:rsidP="00865401">
      <w:pPr>
        <w:pStyle w:val="Textoindependiente"/>
        <w:numPr>
          <w:ilvl w:val="0"/>
          <w:numId w:val="4"/>
        </w:numPr>
        <w:jc w:val="both"/>
        <w:rPr>
          <w:rFonts w:cs="Arial"/>
          <w:b w:val="0"/>
          <w:sz w:val="24"/>
          <w:szCs w:val="24"/>
        </w:rPr>
      </w:pPr>
      <w:r w:rsidRPr="003D54DD">
        <w:rPr>
          <w:rFonts w:cs="Arial"/>
          <w:b w:val="0"/>
          <w:sz w:val="24"/>
          <w:szCs w:val="24"/>
        </w:rPr>
        <w:t>Con efecto contrario, l</w:t>
      </w:r>
      <w:r w:rsidR="00692B5D" w:rsidRPr="003D54DD">
        <w:rPr>
          <w:rFonts w:cs="Arial"/>
          <w:b w:val="0"/>
          <w:sz w:val="24"/>
          <w:szCs w:val="24"/>
        </w:rPr>
        <w:t>os traspasos de necesidades de tesorería previstas en 201</w:t>
      </w:r>
      <w:r w:rsidR="00B45C11" w:rsidRPr="003D54DD">
        <w:rPr>
          <w:rFonts w:cs="Arial"/>
          <w:b w:val="0"/>
          <w:sz w:val="24"/>
          <w:szCs w:val="24"/>
        </w:rPr>
        <w:t>3 al ejercicio 2014</w:t>
      </w:r>
      <w:r w:rsidR="00692B5D" w:rsidRPr="003D54DD">
        <w:rPr>
          <w:rFonts w:cs="Arial"/>
          <w:b w:val="0"/>
          <w:sz w:val="24"/>
          <w:szCs w:val="24"/>
        </w:rPr>
        <w:t xml:space="preserve"> han supuesto 8,</w:t>
      </w:r>
      <w:r w:rsidR="00C27267" w:rsidRPr="003D54DD">
        <w:rPr>
          <w:rFonts w:cs="Arial"/>
          <w:b w:val="0"/>
          <w:sz w:val="24"/>
          <w:szCs w:val="24"/>
        </w:rPr>
        <w:t>8</w:t>
      </w:r>
      <w:r w:rsidR="00692B5D" w:rsidRPr="003D54DD">
        <w:rPr>
          <w:rFonts w:cs="Arial"/>
          <w:b w:val="0"/>
          <w:sz w:val="24"/>
          <w:szCs w:val="24"/>
        </w:rPr>
        <w:t xml:space="preserve"> millones de euros, que no estaban incluidos en la cifra presupuestada para 201</w:t>
      </w:r>
      <w:r w:rsidR="00B45C11" w:rsidRPr="003D54DD">
        <w:rPr>
          <w:rFonts w:cs="Arial"/>
          <w:b w:val="0"/>
          <w:sz w:val="24"/>
          <w:szCs w:val="24"/>
        </w:rPr>
        <w:t>4</w:t>
      </w:r>
      <w:r w:rsidR="00692B5D" w:rsidRPr="003D54DD">
        <w:rPr>
          <w:rFonts w:cs="Arial"/>
          <w:b w:val="0"/>
          <w:sz w:val="24"/>
          <w:szCs w:val="24"/>
        </w:rPr>
        <w:t>.</w:t>
      </w:r>
    </w:p>
    <w:p w:rsidR="00692B5D" w:rsidRPr="003D54DD" w:rsidRDefault="00692B5D" w:rsidP="00692B5D">
      <w:pPr>
        <w:jc w:val="both"/>
        <w:rPr>
          <w:rFonts w:cs="Arial"/>
          <w:szCs w:val="24"/>
        </w:rPr>
      </w:pPr>
    </w:p>
    <w:p w:rsidR="00692B5D" w:rsidRPr="003D54DD" w:rsidRDefault="00692B5D" w:rsidP="00865401">
      <w:pPr>
        <w:pStyle w:val="Textoindependiente"/>
        <w:numPr>
          <w:ilvl w:val="0"/>
          <w:numId w:val="8"/>
        </w:numPr>
        <w:autoSpaceDE w:val="0"/>
        <w:autoSpaceDN w:val="0"/>
        <w:adjustRightInd w:val="0"/>
        <w:jc w:val="both"/>
        <w:rPr>
          <w:rFonts w:cs="Arial"/>
          <w:b w:val="0"/>
          <w:sz w:val="24"/>
          <w:szCs w:val="24"/>
        </w:rPr>
      </w:pPr>
      <w:r w:rsidRPr="003D54DD">
        <w:rPr>
          <w:rFonts w:cs="Arial"/>
          <w:b w:val="0"/>
          <w:sz w:val="24"/>
          <w:szCs w:val="24"/>
        </w:rPr>
        <w:t>Las aportaciones de la Fundación ONCE para 201</w:t>
      </w:r>
      <w:r w:rsidR="00EB6321" w:rsidRPr="003D54DD">
        <w:rPr>
          <w:rFonts w:cs="Arial"/>
          <w:b w:val="0"/>
          <w:sz w:val="24"/>
          <w:szCs w:val="24"/>
        </w:rPr>
        <w:t>4 serán de 5,7</w:t>
      </w:r>
      <w:r w:rsidRPr="003D54DD">
        <w:rPr>
          <w:rFonts w:cs="Arial"/>
          <w:b w:val="0"/>
          <w:sz w:val="24"/>
          <w:szCs w:val="24"/>
        </w:rPr>
        <w:t xml:space="preserve"> millones de euros, siendo inferiores al presupuesto y año anterior en 0,</w:t>
      </w:r>
      <w:r w:rsidR="00EB6321" w:rsidRPr="003D54DD">
        <w:rPr>
          <w:rFonts w:cs="Arial"/>
          <w:b w:val="0"/>
          <w:sz w:val="24"/>
          <w:szCs w:val="24"/>
        </w:rPr>
        <w:t>8</w:t>
      </w:r>
      <w:r w:rsidRPr="003D54DD">
        <w:rPr>
          <w:rFonts w:cs="Arial"/>
          <w:b w:val="0"/>
          <w:sz w:val="24"/>
          <w:szCs w:val="24"/>
        </w:rPr>
        <w:t xml:space="preserve"> millones y 1,</w:t>
      </w:r>
      <w:r w:rsidR="00EB6321" w:rsidRPr="003D54DD">
        <w:rPr>
          <w:rFonts w:cs="Arial"/>
          <w:b w:val="0"/>
          <w:sz w:val="24"/>
          <w:szCs w:val="24"/>
        </w:rPr>
        <w:t>3</w:t>
      </w:r>
      <w:r w:rsidRPr="003D54DD">
        <w:rPr>
          <w:rFonts w:cs="Arial"/>
          <w:b w:val="0"/>
          <w:sz w:val="24"/>
          <w:szCs w:val="24"/>
        </w:rPr>
        <w:t xml:space="preserve"> millones, respectivamente.</w:t>
      </w:r>
    </w:p>
    <w:p w:rsidR="00692B5D" w:rsidRPr="003D54DD" w:rsidRDefault="00692B5D" w:rsidP="00692B5D">
      <w:pPr>
        <w:jc w:val="both"/>
        <w:rPr>
          <w:rFonts w:cs="Arial"/>
          <w:szCs w:val="24"/>
        </w:rPr>
      </w:pPr>
    </w:p>
    <w:p w:rsidR="00692B5D" w:rsidRPr="003D54DD" w:rsidRDefault="00692B5D" w:rsidP="00865401">
      <w:pPr>
        <w:pStyle w:val="Textoindependiente"/>
        <w:numPr>
          <w:ilvl w:val="0"/>
          <w:numId w:val="8"/>
        </w:numPr>
        <w:autoSpaceDE w:val="0"/>
        <w:autoSpaceDN w:val="0"/>
        <w:adjustRightInd w:val="0"/>
        <w:jc w:val="both"/>
        <w:rPr>
          <w:rFonts w:cs="Arial"/>
          <w:b w:val="0"/>
          <w:sz w:val="24"/>
          <w:szCs w:val="24"/>
        </w:rPr>
      </w:pPr>
      <w:r w:rsidRPr="003D54DD">
        <w:rPr>
          <w:rFonts w:cs="Arial"/>
          <w:b w:val="0"/>
          <w:sz w:val="24"/>
          <w:szCs w:val="24"/>
        </w:rPr>
        <w:lastRenderedPageBreak/>
        <w:t>El endeudamiento acumulado a 31 de diciembre de 201</w:t>
      </w:r>
      <w:r w:rsidR="00EB6321" w:rsidRPr="003D54DD">
        <w:rPr>
          <w:rFonts w:cs="Arial"/>
          <w:b w:val="0"/>
          <w:sz w:val="24"/>
          <w:szCs w:val="24"/>
        </w:rPr>
        <w:t>4</w:t>
      </w:r>
      <w:r w:rsidRPr="003D54DD">
        <w:rPr>
          <w:rFonts w:cs="Arial"/>
          <w:b w:val="0"/>
          <w:sz w:val="24"/>
          <w:szCs w:val="24"/>
        </w:rPr>
        <w:t xml:space="preserve"> del Grupo se estima en </w:t>
      </w:r>
      <w:r w:rsidR="00EB6321" w:rsidRPr="003D54DD">
        <w:rPr>
          <w:rFonts w:cs="Arial"/>
          <w:b w:val="0"/>
          <w:sz w:val="24"/>
          <w:szCs w:val="24"/>
        </w:rPr>
        <w:t>107,3</w:t>
      </w:r>
      <w:r w:rsidRPr="003D54DD">
        <w:rPr>
          <w:rFonts w:cs="Arial"/>
          <w:b w:val="0"/>
          <w:sz w:val="24"/>
          <w:szCs w:val="24"/>
        </w:rPr>
        <w:t xml:space="preserve"> millones de euros, lo que representa un </w:t>
      </w:r>
      <w:r w:rsidR="00EB6321" w:rsidRPr="003D54DD">
        <w:rPr>
          <w:rFonts w:cs="Arial"/>
          <w:b w:val="0"/>
          <w:sz w:val="24"/>
          <w:szCs w:val="24"/>
        </w:rPr>
        <w:t>36</w:t>
      </w:r>
      <w:r w:rsidRPr="003D54DD">
        <w:rPr>
          <w:rFonts w:cs="Arial"/>
          <w:b w:val="0"/>
          <w:sz w:val="24"/>
          <w:szCs w:val="24"/>
        </w:rPr>
        <w:t>,</w:t>
      </w:r>
      <w:r w:rsidR="00EB6321" w:rsidRPr="003D54DD">
        <w:rPr>
          <w:rFonts w:cs="Arial"/>
          <w:b w:val="0"/>
          <w:sz w:val="24"/>
          <w:szCs w:val="24"/>
        </w:rPr>
        <w:t>9</w:t>
      </w:r>
      <w:r w:rsidRPr="003D54DD">
        <w:rPr>
          <w:rFonts w:cs="Arial"/>
          <w:b w:val="0"/>
          <w:sz w:val="24"/>
          <w:szCs w:val="24"/>
        </w:rPr>
        <w:t xml:space="preserve">% del patrimonio neto estimado. </w:t>
      </w:r>
    </w:p>
    <w:p w:rsidR="00692B5D" w:rsidRPr="003D54DD" w:rsidRDefault="00692B5D" w:rsidP="004224EB">
      <w:pPr>
        <w:ind w:left="711"/>
        <w:jc w:val="both"/>
        <w:rPr>
          <w:rFonts w:cs="Arial"/>
          <w:szCs w:val="24"/>
        </w:rPr>
      </w:pPr>
    </w:p>
    <w:p w:rsidR="00692B5D" w:rsidRPr="003D54DD" w:rsidRDefault="00692B5D" w:rsidP="00865401">
      <w:pPr>
        <w:pStyle w:val="Textoindependiente"/>
        <w:numPr>
          <w:ilvl w:val="0"/>
          <w:numId w:val="8"/>
        </w:numPr>
        <w:autoSpaceDE w:val="0"/>
        <w:autoSpaceDN w:val="0"/>
        <w:adjustRightInd w:val="0"/>
        <w:jc w:val="both"/>
        <w:rPr>
          <w:rFonts w:cs="Arial"/>
          <w:b w:val="0"/>
          <w:sz w:val="24"/>
          <w:szCs w:val="24"/>
        </w:rPr>
      </w:pPr>
      <w:r w:rsidRPr="003D54DD">
        <w:rPr>
          <w:rFonts w:cs="Arial"/>
          <w:b w:val="0"/>
          <w:sz w:val="24"/>
          <w:szCs w:val="24"/>
        </w:rPr>
        <w:t>Para el ejercicio 201</w:t>
      </w:r>
      <w:r w:rsidR="00760287" w:rsidRPr="003D54DD">
        <w:rPr>
          <w:rFonts w:cs="Arial"/>
          <w:b w:val="0"/>
          <w:sz w:val="24"/>
          <w:szCs w:val="24"/>
        </w:rPr>
        <w:t>5</w:t>
      </w:r>
      <w:r w:rsidRPr="003D54DD">
        <w:rPr>
          <w:rFonts w:cs="Arial"/>
          <w:b w:val="0"/>
          <w:sz w:val="24"/>
          <w:szCs w:val="24"/>
        </w:rPr>
        <w:t xml:space="preserve"> se prevén unas necesidades de financiación de </w:t>
      </w:r>
      <w:r w:rsidR="00760287" w:rsidRPr="003D54DD">
        <w:rPr>
          <w:rFonts w:cs="Arial"/>
          <w:b w:val="0"/>
          <w:sz w:val="24"/>
          <w:szCs w:val="24"/>
        </w:rPr>
        <w:t>9,5</w:t>
      </w:r>
      <w:r w:rsidRPr="003D54DD">
        <w:rPr>
          <w:rFonts w:cs="Arial"/>
          <w:b w:val="0"/>
          <w:sz w:val="24"/>
          <w:szCs w:val="24"/>
        </w:rPr>
        <w:t xml:space="preserve"> millones de euros. Las aportaciones de la Fundación ONCE para 201</w:t>
      </w:r>
      <w:r w:rsidR="00760287" w:rsidRPr="003D54DD">
        <w:rPr>
          <w:rFonts w:cs="Arial"/>
          <w:b w:val="0"/>
          <w:sz w:val="24"/>
          <w:szCs w:val="24"/>
        </w:rPr>
        <w:t>5</w:t>
      </w:r>
      <w:r w:rsidRPr="003D54DD">
        <w:rPr>
          <w:rFonts w:cs="Arial"/>
          <w:b w:val="0"/>
          <w:sz w:val="24"/>
          <w:szCs w:val="24"/>
        </w:rPr>
        <w:t xml:space="preserve"> serán de </w:t>
      </w:r>
      <w:r w:rsidR="00760287" w:rsidRPr="003D54DD">
        <w:rPr>
          <w:rFonts w:cs="Arial"/>
          <w:b w:val="0"/>
          <w:sz w:val="24"/>
          <w:szCs w:val="24"/>
        </w:rPr>
        <w:t>3,5</w:t>
      </w:r>
      <w:r w:rsidRPr="003D54DD">
        <w:rPr>
          <w:rFonts w:cs="Arial"/>
          <w:b w:val="0"/>
          <w:sz w:val="24"/>
          <w:szCs w:val="24"/>
        </w:rPr>
        <w:t xml:space="preserve"> millones de euros.</w:t>
      </w:r>
    </w:p>
    <w:p w:rsidR="00692B5D" w:rsidRPr="003D54DD" w:rsidRDefault="00692B5D" w:rsidP="00692B5D">
      <w:pPr>
        <w:ind w:left="348"/>
        <w:jc w:val="both"/>
        <w:rPr>
          <w:rFonts w:cs="Arial"/>
          <w:szCs w:val="24"/>
        </w:rPr>
      </w:pPr>
    </w:p>
    <w:p w:rsidR="00692B5D" w:rsidRPr="003D54DD" w:rsidRDefault="00692B5D" w:rsidP="00865401">
      <w:pPr>
        <w:pStyle w:val="Textoindependiente"/>
        <w:numPr>
          <w:ilvl w:val="0"/>
          <w:numId w:val="8"/>
        </w:numPr>
        <w:autoSpaceDE w:val="0"/>
        <w:autoSpaceDN w:val="0"/>
        <w:adjustRightInd w:val="0"/>
        <w:jc w:val="both"/>
        <w:rPr>
          <w:rFonts w:cs="Arial"/>
          <w:b w:val="0"/>
          <w:sz w:val="24"/>
          <w:szCs w:val="24"/>
        </w:rPr>
      </w:pPr>
      <w:r w:rsidRPr="003D54DD">
        <w:rPr>
          <w:rFonts w:cs="Arial"/>
          <w:b w:val="0"/>
          <w:sz w:val="24"/>
          <w:szCs w:val="24"/>
        </w:rPr>
        <w:t xml:space="preserve">El endeudamiento </w:t>
      </w:r>
      <w:r w:rsidR="00994F26" w:rsidRPr="003D54DD">
        <w:rPr>
          <w:rFonts w:cs="Arial"/>
          <w:b w:val="0"/>
          <w:sz w:val="24"/>
          <w:szCs w:val="24"/>
        </w:rPr>
        <w:t xml:space="preserve">bancario </w:t>
      </w:r>
      <w:r w:rsidRPr="003D54DD">
        <w:rPr>
          <w:rFonts w:cs="Arial"/>
          <w:b w:val="0"/>
          <w:sz w:val="24"/>
          <w:szCs w:val="24"/>
        </w:rPr>
        <w:t>acumulado a 31 de diciembre de 201</w:t>
      </w:r>
      <w:r w:rsidR="00753C7C" w:rsidRPr="003D54DD">
        <w:rPr>
          <w:rFonts w:cs="Arial"/>
          <w:b w:val="0"/>
          <w:sz w:val="24"/>
          <w:szCs w:val="24"/>
        </w:rPr>
        <w:t>5</w:t>
      </w:r>
      <w:r w:rsidRPr="003D54DD">
        <w:rPr>
          <w:rFonts w:cs="Arial"/>
          <w:b w:val="0"/>
          <w:sz w:val="24"/>
          <w:szCs w:val="24"/>
        </w:rPr>
        <w:t xml:space="preserve"> se ha presupuestado en </w:t>
      </w:r>
      <w:r w:rsidR="00753C7C" w:rsidRPr="003D54DD">
        <w:rPr>
          <w:rFonts w:cs="Arial"/>
          <w:b w:val="0"/>
          <w:sz w:val="24"/>
          <w:szCs w:val="24"/>
        </w:rPr>
        <w:t>113,3</w:t>
      </w:r>
      <w:r w:rsidRPr="003D54DD">
        <w:rPr>
          <w:rFonts w:cs="Arial"/>
          <w:b w:val="0"/>
          <w:sz w:val="24"/>
          <w:szCs w:val="24"/>
        </w:rPr>
        <w:t xml:space="preserve"> millones de euros, un </w:t>
      </w:r>
      <w:r w:rsidR="00753C7C" w:rsidRPr="003D54DD">
        <w:rPr>
          <w:rFonts w:cs="Arial"/>
          <w:b w:val="0"/>
          <w:sz w:val="24"/>
          <w:szCs w:val="24"/>
        </w:rPr>
        <w:t>38,6</w:t>
      </w:r>
      <w:r w:rsidRPr="003D54DD">
        <w:rPr>
          <w:rFonts w:cs="Arial"/>
          <w:b w:val="0"/>
          <w:sz w:val="24"/>
          <w:szCs w:val="24"/>
        </w:rPr>
        <w:t>% del patrimonio neto del Grupo previsto a dicha fecha</w:t>
      </w:r>
      <w:r w:rsidR="00341B68" w:rsidRPr="003D54DD">
        <w:rPr>
          <w:rFonts w:cs="Arial"/>
          <w:b w:val="0"/>
          <w:sz w:val="24"/>
          <w:szCs w:val="24"/>
        </w:rPr>
        <w:t>,</w:t>
      </w:r>
      <w:r w:rsidRPr="003D54DD">
        <w:rPr>
          <w:rFonts w:cs="Arial"/>
          <w:b w:val="0"/>
          <w:sz w:val="24"/>
          <w:szCs w:val="24"/>
        </w:rPr>
        <w:t xml:space="preserve"> que ascenderá a </w:t>
      </w:r>
      <w:r w:rsidR="00753C7C" w:rsidRPr="003D54DD">
        <w:rPr>
          <w:rFonts w:cs="Arial"/>
          <w:b w:val="0"/>
          <w:sz w:val="24"/>
          <w:szCs w:val="24"/>
        </w:rPr>
        <w:t>293,3</w:t>
      </w:r>
      <w:r w:rsidRPr="003D54DD">
        <w:rPr>
          <w:rFonts w:cs="Arial"/>
          <w:b w:val="0"/>
          <w:sz w:val="24"/>
          <w:szCs w:val="24"/>
        </w:rPr>
        <w:t xml:space="preserve"> millones de euros</w:t>
      </w:r>
      <w:r w:rsidR="004E7190" w:rsidRPr="003D54DD">
        <w:rPr>
          <w:rFonts w:cs="Arial"/>
          <w:b w:val="0"/>
          <w:sz w:val="24"/>
          <w:szCs w:val="24"/>
        </w:rPr>
        <w:t>.</w:t>
      </w:r>
    </w:p>
    <w:p w:rsidR="00753C7C" w:rsidRPr="003D54DD" w:rsidRDefault="00753C7C" w:rsidP="008F7859">
      <w:pPr>
        <w:pStyle w:val="Sangradetextonormal"/>
        <w:ind w:left="360" w:firstLine="0"/>
        <w:jc w:val="both"/>
        <w:rPr>
          <w:rFonts w:cs="Arial"/>
          <w:b/>
          <w:szCs w:val="24"/>
          <w:u w:val="single"/>
        </w:rPr>
      </w:pPr>
    </w:p>
    <w:p w:rsidR="00F2370C" w:rsidRPr="003D54DD" w:rsidRDefault="00F2370C" w:rsidP="008F7859">
      <w:pPr>
        <w:pStyle w:val="Sangradetextonormal"/>
        <w:ind w:left="360" w:firstLine="0"/>
        <w:jc w:val="both"/>
        <w:rPr>
          <w:rFonts w:cs="Arial"/>
          <w:b/>
          <w:szCs w:val="24"/>
          <w:u w:val="single"/>
        </w:rPr>
      </w:pPr>
    </w:p>
    <w:p w:rsidR="00CE53F8" w:rsidRPr="00BF7448" w:rsidRDefault="00CE53F8" w:rsidP="00750EB7">
      <w:pPr>
        <w:pStyle w:val="Sangradetextonormal"/>
        <w:numPr>
          <w:ilvl w:val="0"/>
          <w:numId w:val="14"/>
        </w:numPr>
        <w:jc w:val="both"/>
        <w:outlineLvl w:val="2"/>
        <w:rPr>
          <w:rFonts w:cs="Arial"/>
          <w:b/>
          <w:color w:val="016FB8"/>
          <w:szCs w:val="24"/>
          <w:u w:val="single"/>
        </w:rPr>
      </w:pPr>
      <w:bookmarkStart w:id="37" w:name="_Toc403984319"/>
      <w:r w:rsidRPr="00BF7448">
        <w:rPr>
          <w:rFonts w:cs="Arial"/>
          <w:b/>
          <w:color w:val="016FB8"/>
          <w:szCs w:val="24"/>
          <w:u w:val="single"/>
        </w:rPr>
        <w:t>Empleo</w:t>
      </w:r>
      <w:bookmarkEnd w:id="35"/>
      <w:bookmarkEnd w:id="37"/>
    </w:p>
    <w:p w:rsidR="004C33DB" w:rsidRDefault="004C33DB" w:rsidP="00C1411B">
      <w:pPr>
        <w:pStyle w:val="Sangradetextonormal"/>
        <w:jc w:val="both"/>
        <w:rPr>
          <w:color w:val="FF0000"/>
        </w:rPr>
      </w:pPr>
    </w:p>
    <w:p w:rsidR="00452E35" w:rsidRPr="00BF7448" w:rsidRDefault="00452E35" w:rsidP="00452E35">
      <w:pPr>
        <w:tabs>
          <w:tab w:val="left" w:pos="720"/>
        </w:tabs>
        <w:rPr>
          <w:rFonts w:cs="Arial"/>
          <w:bCs/>
          <w:color w:val="016FB8"/>
          <w:kern w:val="32"/>
          <w:szCs w:val="24"/>
          <w:u w:val="single"/>
        </w:rPr>
      </w:pPr>
      <w:r w:rsidRPr="00BF7448">
        <w:rPr>
          <w:rFonts w:cs="Arial"/>
          <w:bCs/>
          <w:color w:val="016FB8"/>
          <w:kern w:val="32"/>
          <w:szCs w:val="24"/>
          <w:u w:val="single"/>
        </w:rPr>
        <w:t>a) Sociedades filiales</w:t>
      </w:r>
    </w:p>
    <w:p w:rsidR="00452E35" w:rsidRPr="003D54DD" w:rsidRDefault="00452E35" w:rsidP="00452E35">
      <w:pPr>
        <w:tabs>
          <w:tab w:val="left" w:pos="720"/>
        </w:tabs>
        <w:rPr>
          <w:rFonts w:cs="Arial"/>
          <w:szCs w:val="24"/>
        </w:rPr>
      </w:pPr>
    </w:p>
    <w:p w:rsidR="00D32CA0" w:rsidRDefault="00D32CA0" w:rsidP="00D32CA0">
      <w:pPr>
        <w:tabs>
          <w:tab w:val="left" w:pos="720"/>
        </w:tabs>
        <w:jc w:val="both"/>
        <w:rPr>
          <w:rFonts w:cs="Arial"/>
          <w:bCs/>
          <w:kern w:val="32"/>
          <w:szCs w:val="24"/>
        </w:rPr>
      </w:pPr>
      <w:r w:rsidRPr="00017423">
        <w:rPr>
          <w:rFonts w:cs="Arial"/>
          <w:bCs/>
          <w:kern w:val="32"/>
          <w:szCs w:val="24"/>
        </w:rPr>
        <w:t>A continuación se presenta una tabla con el resumen de la evolución prevista del empleo, medido como plantilla a fin de año, de las sociedades filiales</w:t>
      </w:r>
      <w:r>
        <w:rPr>
          <w:rFonts w:cs="Arial"/>
          <w:bCs/>
          <w:kern w:val="32"/>
          <w:szCs w:val="24"/>
        </w:rPr>
        <w:t>:</w:t>
      </w:r>
    </w:p>
    <w:p w:rsidR="00D32CA0" w:rsidRDefault="00D32CA0" w:rsidP="00D32CA0">
      <w:pPr>
        <w:tabs>
          <w:tab w:val="left" w:pos="720"/>
        </w:tabs>
        <w:jc w:val="both"/>
        <w:rPr>
          <w:rFonts w:cs="Arial"/>
          <w:bCs/>
          <w:kern w:val="32"/>
          <w:szCs w:val="24"/>
        </w:rPr>
      </w:pPr>
    </w:p>
    <w:p w:rsidR="00D32CA0" w:rsidRDefault="00D32CA0" w:rsidP="00D32CA0">
      <w:pPr>
        <w:tabs>
          <w:tab w:val="left" w:pos="720"/>
        </w:tabs>
        <w:rPr>
          <w:rFonts w:cs="Arial"/>
          <w:bCs/>
          <w:kern w:val="32"/>
          <w:szCs w:val="24"/>
        </w:rPr>
      </w:pPr>
    </w:p>
    <w:tbl>
      <w:tblPr>
        <w:tblW w:w="10093" w:type="dxa"/>
        <w:tblInd w:w="-788" w:type="dxa"/>
        <w:tblCellMar>
          <w:left w:w="70" w:type="dxa"/>
          <w:right w:w="70" w:type="dxa"/>
        </w:tblCellMar>
        <w:tblLook w:val="04A0" w:firstRow="1" w:lastRow="0" w:firstColumn="1" w:lastColumn="0" w:noHBand="0" w:noVBand="1"/>
      </w:tblPr>
      <w:tblGrid>
        <w:gridCol w:w="2560"/>
        <w:gridCol w:w="820"/>
        <w:gridCol w:w="860"/>
        <w:gridCol w:w="1091"/>
        <w:gridCol w:w="940"/>
        <w:gridCol w:w="1181"/>
        <w:gridCol w:w="1181"/>
        <w:gridCol w:w="1460"/>
      </w:tblGrid>
      <w:tr w:rsidR="00D32CA0" w:rsidRPr="00BF7448" w:rsidTr="003A02AC">
        <w:trPr>
          <w:trHeight w:val="645"/>
        </w:trPr>
        <w:tc>
          <w:tcPr>
            <w:tcW w:w="2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32CA0" w:rsidRPr="00BF7448" w:rsidRDefault="00D32CA0" w:rsidP="003A02AC">
            <w:pPr>
              <w:rPr>
                <w:rFonts w:cs="Arial"/>
                <w:color w:val="016FB8"/>
                <w:sz w:val="18"/>
                <w:szCs w:val="18"/>
                <w:lang w:val="es-ES"/>
              </w:rPr>
            </w:pPr>
            <w:r w:rsidRPr="00BF7448">
              <w:rPr>
                <w:rFonts w:cs="Arial"/>
                <w:color w:val="016FB8"/>
                <w:sz w:val="18"/>
                <w:szCs w:val="18"/>
              </w:rPr>
              <w:t> </w:t>
            </w:r>
          </w:p>
        </w:tc>
        <w:tc>
          <w:tcPr>
            <w:tcW w:w="820" w:type="dxa"/>
            <w:vMerge w:val="restart"/>
            <w:tcBorders>
              <w:top w:val="single" w:sz="8" w:space="0" w:color="000000"/>
              <w:left w:val="single" w:sz="8" w:space="0" w:color="auto"/>
              <w:bottom w:val="single" w:sz="8" w:space="0" w:color="000000"/>
              <w:right w:val="single" w:sz="8" w:space="0" w:color="000000"/>
            </w:tcBorders>
            <w:shd w:val="clear" w:color="000000" w:fill="FFFFFF"/>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2013</w:t>
            </w:r>
          </w:p>
        </w:tc>
        <w:tc>
          <w:tcPr>
            <w:tcW w:w="86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PA 2014</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ESTIMADO 2014</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PA 2015</w:t>
            </w:r>
          </w:p>
        </w:tc>
        <w:tc>
          <w:tcPr>
            <w:tcW w:w="1181" w:type="dxa"/>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Crecimiento EST. 14 - 2013</w:t>
            </w:r>
          </w:p>
        </w:tc>
        <w:tc>
          <w:tcPr>
            <w:tcW w:w="1181" w:type="dxa"/>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Crecimiento PA15 - EST. 14</w:t>
            </w:r>
          </w:p>
        </w:tc>
        <w:tc>
          <w:tcPr>
            <w:tcW w:w="1460" w:type="dxa"/>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 Crecimiento PA 2015 - EST.2014</w:t>
            </w:r>
          </w:p>
        </w:tc>
      </w:tr>
      <w:tr w:rsidR="00D32CA0" w:rsidRPr="00747935" w:rsidTr="003A02AC">
        <w:trPr>
          <w:trHeight w:val="315"/>
        </w:trPr>
        <w:tc>
          <w:tcPr>
            <w:tcW w:w="2560" w:type="dxa"/>
            <w:vMerge/>
            <w:tcBorders>
              <w:top w:val="single" w:sz="8" w:space="0" w:color="auto"/>
              <w:left w:val="single" w:sz="8" w:space="0" w:color="auto"/>
              <w:bottom w:val="single" w:sz="8" w:space="0" w:color="000000"/>
              <w:right w:val="single" w:sz="8" w:space="0" w:color="auto"/>
            </w:tcBorders>
            <w:vAlign w:val="center"/>
            <w:hideMark/>
          </w:tcPr>
          <w:p w:rsidR="00D32CA0" w:rsidRPr="00747935" w:rsidRDefault="00D32CA0" w:rsidP="003A02AC">
            <w:pPr>
              <w:rPr>
                <w:rFonts w:cs="Arial"/>
                <w:color w:val="000000"/>
                <w:sz w:val="18"/>
                <w:szCs w:val="18"/>
                <w:lang w:val="es-ES"/>
              </w:rPr>
            </w:pPr>
          </w:p>
        </w:tc>
        <w:tc>
          <w:tcPr>
            <w:tcW w:w="820" w:type="dxa"/>
            <w:vMerge/>
            <w:tcBorders>
              <w:top w:val="single" w:sz="8" w:space="0" w:color="000000"/>
              <w:left w:val="single" w:sz="8" w:space="0" w:color="auto"/>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860"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1091"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940"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1181"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1181"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1460"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r>
      <w:tr w:rsidR="00D32CA0" w:rsidRPr="00747935" w:rsidTr="003A02AC">
        <w:trPr>
          <w:trHeight w:val="315"/>
        </w:trPr>
        <w:tc>
          <w:tcPr>
            <w:tcW w:w="2560" w:type="dxa"/>
            <w:tcBorders>
              <w:top w:val="nil"/>
              <w:left w:val="single" w:sz="8" w:space="0" w:color="000000"/>
              <w:bottom w:val="single" w:sz="8" w:space="0" w:color="000000"/>
              <w:right w:val="single" w:sz="8" w:space="0" w:color="000000"/>
            </w:tcBorders>
            <w:shd w:val="clear" w:color="auto" w:fill="auto"/>
            <w:noWrap/>
            <w:vAlign w:val="center"/>
            <w:hideMark/>
          </w:tcPr>
          <w:p w:rsidR="00D32CA0" w:rsidRPr="00747935" w:rsidRDefault="00D32CA0" w:rsidP="003A02AC">
            <w:pPr>
              <w:rPr>
                <w:rFonts w:cs="Arial"/>
                <w:color w:val="000000"/>
                <w:sz w:val="18"/>
                <w:szCs w:val="18"/>
                <w:lang w:val="es-ES"/>
              </w:rPr>
            </w:pPr>
            <w:r w:rsidRPr="00747935">
              <w:rPr>
                <w:rFonts w:cs="Arial"/>
                <w:color w:val="000000"/>
                <w:sz w:val="18"/>
                <w:szCs w:val="18"/>
              </w:rPr>
              <w:t>AFILIADOS</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162</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164</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167</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179</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5</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12</w:t>
            </w:r>
          </w:p>
        </w:tc>
        <w:tc>
          <w:tcPr>
            <w:tcW w:w="1460" w:type="dxa"/>
            <w:tcBorders>
              <w:top w:val="nil"/>
              <w:left w:val="nil"/>
              <w:bottom w:val="single" w:sz="8" w:space="0" w:color="000000"/>
              <w:right w:val="single" w:sz="8" w:space="0" w:color="000000"/>
            </w:tcBorders>
            <w:shd w:val="clear" w:color="000000" w:fill="FFFFFF"/>
            <w:vAlign w:val="center"/>
            <w:hideMark/>
          </w:tcPr>
          <w:p w:rsidR="00D32CA0" w:rsidRPr="00747935" w:rsidRDefault="00D32CA0" w:rsidP="003A02AC">
            <w:pPr>
              <w:jc w:val="center"/>
              <w:rPr>
                <w:rFonts w:cs="Arial"/>
                <w:i/>
                <w:iCs/>
                <w:color w:val="000000"/>
                <w:sz w:val="18"/>
                <w:szCs w:val="18"/>
                <w:lang w:val="es-ES"/>
              </w:rPr>
            </w:pPr>
            <w:r w:rsidRPr="00747935">
              <w:rPr>
                <w:rFonts w:cs="Arial"/>
                <w:i/>
                <w:iCs/>
                <w:color w:val="000000"/>
                <w:sz w:val="18"/>
                <w:szCs w:val="18"/>
              </w:rPr>
              <w:t>7%</w:t>
            </w:r>
          </w:p>
        </w:tc>
      </w:tr>
      <w:tr w:rsidR="00D32CA0" w:rsidRPr="00747935" w:rsidTr="003A02AC">
        <w:trPr>
          <w:trHeight w:val="315"/>
        </w:trPr>
        <w:tc>
          <w:tcPr>
            <w:tcW w:w="2560" w:type="dxa"/>
            <w:tcBorders>
              <w:top w:val="nil"/>
              <w:left w:val="single" w:sz="8" w:space="0" w:color="000000"/>
              <w:bottom w:val="nil"/>
              <w:right w:val="single" w:sz="8" w:space="0" w:color="000000"/>
            </w:tcBorders>
            <w:shd w:val="clear" w:color="auto" w:fill="auto"/>
            <w:noWrap/>
            <w:vAlign w:val="center"/>
            <w:hideMark/>
          </w:tcPr>
          <w:p w:rsidR="00D32CA0" w:rsidRPr="00747935" w:rsidRDefault="00D32CA0" w:rsidP="003A02AC">
            <w:pPr>
              <w:rPr>
                <w:rFonts w:cs="Arial"/>
                <w:color w:val="000000"/>
                <w:sz w:val="18"/>
                <w:szCs w:val="18"/>
                <w:lang w:val="es-ES"/>
              </w:rPr>
            </w:pPr>
            <w:r w:rsidRPr="00747935">
              <w:rPr>
                <w:rFonts w:cs="Arial"/>
                <w:color w:val="000000"/>
                <w:sz w:val="18"/>
                <w:szCs w:val="18"/>
              </w:rPr>
              <w:t>RESTO CON DISCAPACIDAD</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5.694</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5.635</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6.341</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6.566</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647</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225</w:t>
            </w:r>
          </w:p>
        </w:tc>
        <w:tc>
          <w:tcPr>
            <w:tcW w:w="1460" w:type="dxa"/>
            <w:tcBorders>
              <w:top w:val="nil"/>
              <w:left w:val="nil"/>
              <w:bottom w:val="single" w:sz="8" w:space="0" w:color="000000"/>
              <w:right w:val="single" w:sz="8" w:space="0" w:color="000000"/>
            </w:tcBorders>
            <w:shd w:val="clear" w:color="000000" w:fill="FFFFFF"/>
            <w:vAlign w:val="center"/>
            <w:hideMark/>
          </w:tcPr>
          <w:p w:rsidR="00D32CA0" w:rsidRPr="00747935" w:rsidRDefault="00D32CA0" w:rsidP="003A02AC">
            <w:pPr>
              <w:jc w:val="center"/>
              <w:rPr>
                <w:rFonts w:cs="Arial"/>
                <w:i/>
                <w:iCs/>
                <w:color w:val="000000"/>
                <w:sz w:val="18"/>
                <w:szCs w:val="18"/>
                <w:lang w:val="es-ES"/>
              </w:rPr>
            </w:pPr>
            <w:r>
              <w:rPr>
                <w:rFonts w:cs="Arial"/>
                <w:i/>
                <w:iCs/>
                <w:color w:val="000000"/>
                <w:sz w:val="18"/>
                <w:szCs w:val="18"/>
              </w:rPr>
              <w:t>4</w:t>
            </w:r>
            <w:r w:rsidRPr="00747935">
              <w:rPr>
                <w:rFonts w:cs="Arial"/>
                <w:i/>
                <w:iCs/>
                <w:color w:val="000000"/>
                <w:sz w:val="18"/>
                <w:szCs w:val="18"/>
              </w:rPr>
              <w:t>%</w:t>
            </w:r>
          </w:p>
        </w:tc>
      </w:tr>
      <w:tr w:rsidR="00D32CA0" w:rsidRPr="00BF7448" w:rsidTr="003A02AC">
        <w:trPr>
          <w:trHeight w:val="315"/>
        </w:trPr>
        <w:tc>
          <w:tcPr>
            <w:tcW w:w="256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32CA0" w:rsidRPr="00BF7448" w:rsidRDefault="00D32CA0" w:rsidP="003A02AC">
            <w:pPr>
              <w:rPr>
                <w:rFonts w:cs="Arial"/>
                <w:b/>
                <w:bCs/>
                <w:color w:val="016FB8"/>
                <w:sz w:val="18"/>
                <w:szCs w:val="18"/>
                <w:lang w:val="es-ES"/>
              </w:rPr>
            </w:pPr>
            <w:r w:rsidRPr="00BF7448">
              <w:rPr>
                <w:rFonts w:cs="Arial"/>
                <w:b/>
                <w:bCs/>
                <w:color w:val="016FB8"/>
                <w:sz w:val="18"/>
                <w:szCs w:val="18"/>
              </w:rPr>
              <w:t>TOTAL CON DISCAPACIDAD</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5.856</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5.799</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6.508</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6.745</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652</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237</w:t>
            </w:r>
          </w:p>
        </w:tc>
        <w:tc>
          <w:tcPr>
            <w:tcW w:w="146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4%</w:t>
            </w:r>
          </w:p>
        </w:tc>
      </w:tr>
      <w:tr w:rsidR="00D32CA0" w:rsidRPr="00747935" w:rsidTr="003A02AC">
        <w:trPr>
          <w:trHeight w:val="315"/>
        </w:trPr>
        <w:tc>
          <w:tcPr>
            <w:tcW w:w="2560" w:type="dxa"/>
            <w:tcBorders>
              <w:top w:val="nil"/>
              <w:left w:val="single" w:sz="8" w:space="0" w:color="auto"/>
              <w:bottom w:val="single" w:sz="8" w:space="0" w:color="auto"/>
              <w:right w:val="single" w:sz="8" w:space="0" w:color="000000"/>
            </w:tcBorders>
            <w:shd w:val="clear" w:color="auto" w:fill="auto"/>
            <w:noWrap/>
            <w:vAlign w:val="center"/>
            <w:hideMark/>
          </w:tcPr>
          <w:p w:rsidR="00D32CA0" w:rsidRPr="00747935" w:rsidRDefault="00D32CA0" w:rsidP="003A02AC">
            <w:pPr>
              <w:rPr>
                <w:rFonts w:cs="Arial"/>
                <w:color w:val="000000"/>
                <w:sz w:val="18"/>
                <w:szCs w:val="18"/>
                <w:lang w:val="es-ES"/>
              </w:rPr>
            </w:pPr>
            <w:r w:rsidRPr="00747935">
              <w:rPr>
                <w:rFonts w:cs="Arial"/>
                <w:color w:val="000000"/>
                <w:sz w:val="18"/>
                <w:szCs w:val="18"/>
              </w:rPr>
              <w:t>SIN DISCAPACIDAD</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3.552</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3.460</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3.551</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3.623</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-1</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747935" w:rsidRDefault="00D32CA0" w:rsidP="003A02AC">
            <w:pPr>
              <w:jc w:val="center"/>
              <w:rPr>
                <w:rFonts w:cs="Arial"/>
                <w:color w:val="000000"/>
                <w:sz w:val="18"/>
                <w:szCs w:val="18"/>
                <w:lang w:val="es-ES"/>
              </w:rPr>
            </w:pPr>
            <w:r w:rsidRPr="00747935">
              <w:rPr>
                <w:rFonts w:cs="Arial"/>
                <w:color w:val="000000"/>
                <w:sz w:val="18"/>
                <w:szCs w:val="18"/>
              </w:rPr>
              <w:t>72</w:t>
            </w:r>
          </w:p>
        </w:tc>
        <w:tc>
          <w:tcPr>
            <w:tcW w:w="1460" w:type="dxa"/>
            <w:tcBorders>
              <w:top w:val="nil"/>
              <w:left w:val="nil"/>
              <w:bottom w:val="single" w:sz="8" w:space="0" w:color="000000"/>
              <w:right w:val="single" w:sz="8" w:space="0" w:color="000000"/>
            </w:tcBorders>
            <w:shd w:val="clear" w:color="000000" w:fill="FFFFFF"/>
            <w:vAlign w:val="center"/>
            <w:hideMark/>
          </w:tcPr>
          <w:p w:rsidR="00D32CA0" w:rsidRPr="00747935" w:rsidRDefault="00D32CA0" w:rsidP="003A02AC">
            <w:pPr>
              <w:jc w:val="center"/>
              <w:rPr>
                <w:rFonts w:cs="Arial"/>
                <w:i/>
                <w:iCs/>
                <w:color w:val="000000"/>
                <w:sz w:val="18"/>
                <w:szCs w:val="18"/>
                <w:lang w:val="es-ES"/>
              </w:rPr>
            </w:pPr>
            <w:r w:rsidRPr="00747935">
              <w:rPr>
                <w:rFonts w:cs="Arial"/>
                <w:i/>
                <w:iCs/>
                <w:color w:val="000000"/>
                <w:sz w:val="18"/>
                <w:szCs w:val="18"/>
              </w:rPr>
              <w:t>2%</w:t>
            </w:r>
          </w:p>
        </w:tc>
      </w:tr>
      <w:tr w:rsidR="00D32CA0" w:rsidRPr="00BF7448" w:rsidTr="003A02AC">
        <w:trPr>
          <w:trHeight w:val="315"/>
        </w:trPr>
        <w:tc>
          <w:tcPr>
            <w:tcW w:w="2560" w:type="dxa"/>
            <w:tcBorders>
              <w:top w:val="nil"/>
              <w:left w:val="single" w:sz="8" w:space="0" w:color="000000"/>
              <w:bottom w:val="nil"/>
              <w:right w:val="single" w:sz="8" w:space="0" w:color="000000"/>
            </w:tcBorders>
            <w:shd w:val="clear" w:color="auto" w:fill="auto"/>
            <w:noWrap/>
            <w:vAlign w:val="center"/>
            <w:hideMark/>
          </w:tcPr>
          <w:p w:rsidR="00D32CA0" w:rsidRPr="00BF7448" w:rsidRDefault="00D32CA0" w:rsidP="003A02AC">
            <w:pPr>
              <w:rPr>
                <w:rFonts w:cs="Arial"/>
                <w:b/>
                <w:bCs/>
                <w:color w:val="016FB8"/>
                <w:sz w:val="18"/>
                <w:szCs w:val="18"/>
                <w:lang w:val="es-ES"/>
              </w:rPr>
            </w:pPr>
            <w:r w:rsidRPr="00BF7448">
              <w:rPr>
                <w:rFonts w:cs="Arial"/>
                <w:b/>
                <w:bCs/>
                <w:color w:val="016FB8"/>
                <w:sz w:val="18"/>
                <w:szCs w:val="18"/>
              </w:rPr>
              <w:t>TOTAL</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9.408</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9.259</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10.059</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10.368</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651</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309</w:t>
            </w:r>
          </w:p>
        </w:tc>
        <w:tc>
          <w:tcPr>
            <w:tcW w:w="146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3%</w:t>
            </w:r>
          </w:p>
        </w:tc>
      </w:tr>
      <w:tr w:rsidR="00D32CA0" w:rsidRPr="00BF7448" w:rsidTr="00D32CA0">
        <w:trPr>
          <w:trHeight w:val="495"/>
        </w:trPr>
        <w:tc>
          <w:tcPr>
            <w:tcW w:w="2560" w:type="dxa"/>
            <w:tcBorders>
              <w:top w:val="single" w:sz="8" w:space="0" w:color="auto"/>
              <w:left w:val="single" w:sz="8" w:space="0" w:color="auto"/>
              <w:bottom w:val="single" w:sz="8" w:space="0" w:color="auto"/>
              <w:right w:val="nil"/>
            </w:tcBorders>
            <w:shd w:val="clear" w:color="auto" w:fill="auto"/>
            <w:vAlign w:val="center"/>
            <w:hideMark/>
          </w:tcPr>
          <w:p w:rsidR="00D32CA0" w:rsidRPr="00BF7448" w:rsidRDefault="00D32CA0" w:rsidP="003A02AC">
            <w:pPr>
              <w:rPr>
                <w:rFonts w:cs="Arial"/>
                <w:b/>
                <w:bCs/>
                <w:color w:val="016FB8"/>
                <w:sz w:val="18"/>
                <w:szCs w:val="18"/>
                <w:lang w:val="es-ES"/>
              </w:rPr>
            </w:pPr>
            <w:r w:rsidRPr="00BF7448">
              <w:rPr>
                <w:rFonts w:cs="Arial"/>
                <w:b/>
                <w:bCs/>
                <w:color w:val="016FB8"/>
                <w:sz w:val="18"/>
                <w:szCs w:val="18"/>
              </w:rPr>
              <w:t>Porcentaje de plantilla con discapacidad s/ total</w:t>
            </w:r>
          </w:p>
        </w:tc>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D32CA0" w:rsidRPr="00BF7448" w:rsidRDefault="00D32CA0" w:rsidP="003A02AC">
            <w:pPr>
              <w:jc w:val="center"/>
              <w:rPr>
                <w:rFonts w:cs="Arial"/>
                <w:color w:val="016FB8"/>
                <w:sz w:val="18"/>
                <w:szCs w:val="18"/>
                <w:lang w:val="es-ES"/>
              </w:rPr>
            </w:pPr>
            <w:r w:rsidRPr="00BF7448">
              <w:rPr>
                <w:rFonts w:cs="Arial"/>
                <w:color w:val="016FB8"/>
                <w:sz w:val="18"/>
                <w:szCs w:val="18"/>
              </w:rPr>
              <w:t>62,24%</w:t>
            </w:r>
          </w:p>
        </w:tc>
        <w:tc>
          <w:tcPr>
            <w:tcW w:w="860" w:type="dxa"/>
            <w:tcBorders>
              <w:top w:val="nil"/>
              <w:left w:val="nil"/>
              <w:bottom w:val="single" w:sz="8" w:space="0" w:color="auto"/>
              <w:right w:val="single" w:sz="8" w:space="0" w:color="auto"/>
            </w:tcBorders>
            <w:shd w:val="clear" w:color="auto" w:fill="auto"/>
            <w:noWrap/>
            <w:vAlign w:val="center"/>
            <w:hideMark/>
          </w:tcPr>
          <w:p w:rsidR="00D32CA0" w:rsidRPr="00BF7448" w:rsidRDefault="00D32CA0" w:rsidP="003A02AC">
            <w:pPr>
              <w:jc w:val="center"/>
              <w:rPr>
                <w:rFonts w:cs="Arial"/>
                <w:color w:val="016FB8"/>
                <w:sz w:val="18"/>
                <w:szCs w:val="18"/>
                <w:lang w:val="es-ES"/>
              </w:rPr>
            </w:pPr>
            <w:r w:rsidRPr="00BF7448">
              <w:rPr>
                <w:rFonts w:cs="Arial"/>
                <w:color w:val="016FB8"/>
                <w:sz w:val="18"/>
                <w:szCs w:val="18"/>
              </w:rPr>
              <w:t>62,63%</w:t>
            </w:r>
          </w:p>
        </w:tc>
        <w:tc>
          <w:tcPr>
            <w:tcW w:w="1091" w:type="dxa"/>
            <w:tcBorders>
              <w:top w:val="nil"/>
              <w:left w:val="nil"/>
              <w:bottom w:val="single" w:sz="8" w:space="0" w:color="auto"/>
              <w:right w:val="single" w:sz="8" w:space="0" w:color="auto"/>
            </w:tcBorders>
            <w:shd w:val="clear" w:color="auto" w:fill="auto"/>
            <w:noWrap/>
            <w:vAlign w:val="center"/>
            <w:hideMark/>
          </w:tcPr>
          <w:p w:rsidR="00D32CA0" w:rsidRPr="00BF7448" w:rsidRDefault="00D32CA0" w:rsidP="003A02AC">
            <w:pPr>
              <w:jc w:val="center"/>
              <w:rPr>
                <w:rFonts w:cs="Arial"/>
                <w:color w:val="016FB8"/>
                <w:sz w:val="18"/>
                <w:szCs w:val="18"/>
                <w:lang w:val="es-ES"/>
              </w:rPr>
            </w:pPr>
            <w:r w:rsidRPr="00BF7448">
              <w:rPr>
                <w:rFonts w:cs="Arial"/>
                <w:color w:val="016FB8"/>
                <w:sz w:val="18"/>
                <w:szCs w:val="18"/>
              </w:rPr>
              <w:t>64,70%</w:t>
            </w:r>
          </w:p>
        </w:tc>
        <w:tc>
          <w:tcPr>
            <w:tcW w:w="940" w:type="dxa"/>
            <w:tcBorders>
              <w:top w:val="nil"/>
              <w:left w:val="nil"/>
              <w:bottom w:val="single" w:sz="8" w:space="0" w:color="auto"/>
              <w:right w:val="single" w:sz="8" w:space="0" w:color="auto"/>
            </w:tcBorders>
            <w:shd w:val="clear" w:color="auto" w:fill="auto"/>
            <w:noWrap/>
            <w:vAlign w:val="center"/>
            <w:hideMark/>
          </w:tcPr>
          <w:p w:rsidR="00D32CA0" w:rsidRPr="00BF7448" w:rsidRDefault="00D32CA0" w:rsidP="003A02AC">
            <w:pPr>
              <w:jc w:val="center"/>
              <w:rPr>
                <w:rFonts w:cs="Arial"/>
                <w:color w:val="016FB8"/>
                <w:sz w:val="18"/>
                <w:szCs w:val="18"/>
                <w:lang w:val="es-ES"/>
              </w:rPr>
            </w:pPr>
            <w:r w:rsidRPr="00BF7448">
              <w:rPr>
                <w:rFonts w:cs="Arial"/>
                <w:color w:val="016FB8"/>
                <w:sz w:val="18"/>
                <w:szCs w:val="18"/>
              </w:rPr>
              <w:t>65,06%</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color w:val="016FB8"/>
                <w:sz w:val="18"/>
                <w:szCs w:val="18"/>
                <w:lang w:val="es-ES"/>
              </w:rPr>
            </w:pPr>
            <w:r w:rsidRPr="00BF7448">
              <w:rPr>
                <w:rFonts w:cs="Arial"/>
                <w:color w:val="016FB8"/>
                <w:sz w:val="18"/>
                <w:szCs w:val="18"/>
              </w:rPr>
              <w:t>2,46%</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3A02AC">
            <w:pPr>
              <w:jc w:val="center"/>
              <w:rPr>
                <w:rFonts w:cs="Arial"/>
                <w:color w:val="016FB8"/>
                <w:sz w:val="18"/>
                <w:szCs w:val="18"/>
                <w:lang w:val="es-ES"/>
              </w:rPr>
            </w:pPr>
            <w:r w:rsidRPr="00BF7448">
              <w:rPr>
                <w:rFonts w:cs="Arial"/>
                <w:color w:val="016FB8"/>
                <w:sz w:val="18"/>
                <w:szCs w:val="18"/>
              </w:rPr>
              <w:t>0,36%</w:t>
            </w:r>
          </w:p>
        </w:tc>
        <w:tc>
          <w:tcPr>
            <w:tcW w:w="1460" w:type="dxa"/>
            <w:tcBorders>
              <w:top w:val="nil"/>
              <w:left w:val="nil"/>
              <w:bottom w:val="single" w:sz="8" w:space="0" w:color="000000"/>
              <w:right w:val="single" w:sz="8" w:space="0" w:color="000000"/>
            </w:tcBorders>
            <w:shd w:val="clear" w:color="auto" w:fill="auto"/>
            <w:vAlign w:val="center"/>
            <w:hideMark/>
          </w:tcPr>
          <w:p w:rsidR="00D32CA0" w:rsidRPr="00BF7448" w:rsidRDefault="00D32CA0" w:rsidP="00D32CA0">
            <w:pPr>
              <w:jc w:val="center"/>
              <w:rPr>
                <w:rFonts w:cs="Arial"/>
                <w:i/>
                <w:iCs/>
                <w:color w:val="016FB8"/>
                <w:sz w:val="18"/>
                <w:szCs w:val="18"/>
                <w:lang w:val="es-ES"/>
              </w:rPr>
            </w:pPr>
            <w:r w:rsidRPr="00BF7448">
              <w:rPr>
                <w:rFonts w:cs="Arial"/>
                <w:i/>
                <w:iCs/>
                <w:color w:val="016FB8"/>
                <w:sz w:val="18"/>
                <w:szCs w:val="18"/>
              </w:rPr>
              <w:t>0,56%</w:t>
            </w:r>
          </w:p>
        </w:tc>
      </w:tr>
    </w:tbl>
    <w:p w:rsidR="00D32CA0" w:rsidRDefault="00D32CA0" w:rsidP="00D32CA0">
      <w:pPr>
        <w:tabs>
          <w:tab w:val="left" w:pos="720"/>
        </w:tabs>
        <w:ind w:left="360"/>
        <w:rPr>
          <w:rFonts w:cs="Arial"/>
          <w:bCs/>
          <w:kern w:val="32"/>
          <w:szCs w:val="24"/>
        </w:rPr>
      </w:pPr>
    </w:p>
    <w:p w:rsidR="00D32CA0" w:rsidRPr="000B4B5C" w:rsidRDefault="00D32CA0" w:rsidP="00D32CA0">
      <w:pPr>
        <w:tabs>
          <w:tab w:val="left" w:pos="720"/>
        </w:tabs>
        <w:jc w:val="both"/>
        <w:rPr>
          <w:rFonts w:cs="Arial"/>
          <w:bCs/>
          <w:kern w:val="32"/>
          <w:szCs w:val="24"/>
        </w:rPr>
      </w:pPr>
      <w:r w:rsidRPr="000B4B5C">
        <w:rPr>
          <w:rFonts w:cs="Arial"/>
          <w:bCs/>
          <w:kern w:val="32"/>
          <w:szCs w:val="24"/>
        </w:rPr>
        <w:t>Asimismo, se presenta la misma tabla</w:t>
      </w:r>
      <w:r>
        <w:rPr>
          <w:rFonts w:cs="Arial"/>
          <w:bCs/>
          <w:kern w:val="32"/>
          <w:szCs w:val="24"/>
        </w:rPr>
        <w:t xml:space="preserve"> incluyendo a la Fundación ONCE, </w:t>
      </w:r>
      <w:r w:rsidRPr="000B4B5C">
        <w:rPr>
          <w:rFonts w:cs="Arial"/>
          <w:bCs/>
          <w:kern w:val="32"/>
          <w:szCs w:val="24"/>
        </w:rPr>
        <w:t>las Asociaciones</w:t>
      </w:r>
      <w:r>
        <w:rPr>
          <w:rFonts w:cs="Arial"/>
          <w:bCs/>
          <w:kern w:val="32"/>
          <w:szCs w:val="24"/>
        </w:rPr>
        <w:t xml:space="preserve"> y las Entidades Vinculadas</w:t>
      </w:r>
      <w:r w:rsidRPr="000B4B5C">
        <w:rPr>
          <w:rFonts w:cs="Arial"/>
          <w:bCs/>
          <w:kern w:val="32"/>
          <w:szCs w:val="24"/>
        </w:rPr>
        <w:t>:</w:t>
      </w:r>
    </w:p>
    <w:p w:rsidR="00D32CA0" w:rsidRDefault="00D32CA0" w:rsidP="00D32CA0">
      <w:pPr>
        <w:tabs>
          <w:tab w:val="left" w:pos="720"/>
        </w:tabs>
        <w:rPr>
          <w:rFonts w:cs="Arial"/>
          <w:bCs/>
          <w:kern w:val="32"/>
          <w:szCs w:val="24"/>
        </w:rPr>
      </w:pPr>
      <w:r>
        <w:rPr>
          <w:rFonts w:cs="Arial"/>
          <w:bCs/>
          <w:kern w:val="32"/>
          <w:szCs w:val="24"/>
        </w:rPr>
        <w:br w:type="page"/>
      </w:r>
    </w:p>
    <w:tbl>
      <w:tblPr>
        <w:tblW w:w="10093" w:type="dxa"/>
        <w:tblInd w:w="-788" w:type="dxa"/>
        <w:tblCellMar>
          <w:left w:w="70" w:type="dxa"/>
          <w:right w:w="70" w:type="dxa"/>
        </w:tblCellMar>
        <w:tblLook w:val="04A0" w:firstRow="1" w:lastRow="0" w:firstColumn="1" w:lastColumn="0" w:noHBand="0" w:noVBand="1"/>
      </w:tblPr>
      <w:tblGrid>
        <w:gridCol w:w="2560"/>
        <w:gridCol w:w="820"/>
        <w:gridCol w:w="860"/>
        <w:gridCol w:w="1091"/>
        <w:gridCol w:w="940"/>
        <w:gridCol w:w="1181"/>
        <w:gridCol w:w="1181"/>
        <w:gridCol w:w="1460"/>
      </w:tblGrid>
      <w:tr w:rsidR="00D32CA0" w:rsidRPr="00747935" w:rsidTr="003A02AC">
        <w:trPr>
          <w:trHeight w:val="645"/>
        </w:trPr>
        <w:tc>
          <w:tcPr>
            <w:tcW w:w="2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32CA0" w:rsidRPr="00747935" w:rsidRDefault="00D32CA0" w:rsidP="003A02AC">
            <w:pPr>
              <w:rPr>
                <w:rFonts w:cs="Arial"/>
                <w:color w:val="000000"/>
                <w:sz w:val="18"/>
                <w:szCs w:val="18"/>
                <w:lang w:val="es-ES"/>
              </w:rPr>
            </w:pPr>
            <w:r w:rsidRPr="00747935">
              <w:rPr>
                <w:rFonts w:cs="Arial"/>
                <w:color w:val="000000"/>
                <w:sz w:val="18"/>
                <w:szCs w:val="18"/>
              </w:rPr>
              <w:t> </w:t>
            </w:r>
          </w:p>
        </w:tc>
        <w:tc>
          <w:tcPr>
            <w:tcW w:w="820" w:type="dxa"/>
            <w:vMerge w:val="restart"/>
            <w:tcBorders>
              <w:top w:val="single" w:sz="8" w:space="0" w:color="000000"/>
              <w:left w:val="single" w:sz="8" w:space="0" w:color="auto"/>
              <w:bottom w:val="single" w:sz="8" w:space="0" w:color="000000"/>
              <w:right w:val="single" w:sz="8" w:space="0" w:color="000000"/>
            </w:tcBorders>
            <w:shd w:val="clear" w:color="000000" w:fill="FFFFFF"/>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2013</w:t>
            </w:r>
          </w:p>
        </w:tc>
        <w:tc>
          <w:tcPr>
            <w:tcW w:w="86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PA 2014</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ESTIMADO 2014</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PA 2015</w:t>
            </w:r>
          </w:p>
        </w:tc>
        <w:tc>
          <w:tcPr>
            <w:tcW w:w="1181" w:type="dxa"/>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Crecimiento EST. 14 - 2013</w:t>
            </w:r>
          </w:p>
        </w:tc>
        <w:tc>
          <w:tcPr>
            <w:tcW w:w="1181" w:type="dxa"/>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Crecimiento PA15 - EST. 14</w:t>
            </w:r>
          </w:p>
        </w:tc>
        <w:tc>
          <w:tcPr>
            <w:tcW w:w="1460" w:type="dxa"/>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D32CA0" w:rsidRPr="00BF7448" w:rsidRDefault="00D32CA0" w:rsidP="003A02AC">
            <w:pPr>
              <w:jc w:val="center"/>
              <w:rPr>
                <w:rFonts w:cs="Arial"/>
                <w:b/>
                <w:bCs/>
                <w:color w:val="016FB8"/>
                <w:sz w:val="18"/>
                <w:szCs w:val="18"/>
                <w:lang w:val="es-ES"/>
              </w:rPr>
            </w:pPr>
            <w:r w:rsidRPr="00BF7448">
              <w:rPr>
                <w:rFonts w:cs="Arial"/>
                <w:b/>
                <w:bCs/>
                <w:color w:val="016FB8"/>
                <w:sz w:val="18"/>
                <w:szCs w:val="18"/>
              </w:rPr>
              <w:t>% Crecimiento PA 2015 - EST.2014</w:t>
            </w:r>
          </w:p>
        </w:tc>
      </w:tr>
      <w:tr w:rsidR="00D32CA0" w:rsidRPr="00747935" w:rsidTr="003A02AC">
        <w:trPr>
          <w:trHeight w:val="315"/>
        </w:trPr>
        <w:tc>
          <w:tcPr>
            <w:tcW w:w="2560" w:type="dxa"/>
            <w:vMerge/>
            <w:tcBorders>
              <w:top w:val="single" w:sz="8" w:space="0" w:color="auto"/>
              <w:left w:val="single" w:sz="8" w:space="0" w:color="auto"/>
              <w:bottom w:val="single" w:sz="8" w:space="0" w:color="000000"/>
              <w:right w:val="single" w:sz="8" w:space="0" w:color="auto"/>
            </w:tcBorders>
            <w:vAlign w:val="center"/>
            <w:hideMark/>
          </w:tcPr>
          <w:p w:rsidR="00D32CA0" w:rsidRPr="00747935" w:rsidRDefault="00D32CA0" w:rsidP="003A02AC">
            <w:pPr>
              <w:rPr>
                <w:rFonts w:cs="Arial"/>
                <w:color w:val="000000"/>
                <w:sz w:val="18"/>
                <w:szCs w:val="18"/>
                <w:lang w:val="es-ES"/>
              </w:rPr>
            </w:pPr>
          </w:p>
        </w:tc>
        <w:tc>
          <w:tcPr>
            <w:tcW w:w="820" w:type="dxa"/>
            <w:vMerge/>
            <w:tcBorders>
              <w:top w:val="single" w:sz="8" w:space="0" w:color="000000"/>
              <w:left w:val="single" w:sz="8" w:space="0" w:color="auto"/>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860"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1091"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940"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1181"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1181"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c>
          <w:tcPr>
            <w:tcW w:w="1460" w:type="dxa"/>
            <w:vMerge/>
            <w:tcBorders>
              <w:top w:val="single" w:sz="8" w:space="0" w:color="000000"/>
              <w:left w:val="single" w:sz="8" w:space="0" w:color="000000"/>
              <w:bottom w:val="single" w:sz="8" w:space="0" w:color="000000"/>
              <w:right w:val="single" w:sz="8" w:space="0" w:color="000000"/>
            </w:tcBorders>
            <w:vAlign w:val="center"/>
            <w:hideMark/>
          </w:tcPr>
          <w:p w:rsidR="00D32CA0" w:rsidRPr="00747935" w:rsidRDefault="00D32CA0" w:rsidP="003A02AC">
            <w:pPr>
              <w:rPr>
                <w:rFonts w:cs="Arial"/>
                <w:b/>
                <w:bCs/>
                <w:color w:val="005C54"/>
                <w:sz w:val="18"/>
                <w:szCs w:val="18"/>
                <w:lang w:val="es-ES"/>
              </w:rPr>
            </w:pPr>
          </w:p>
        </w:tc>
      </w:tr>
      <w:tr w:rsidR="00D32CA0" w:rsidRPr="00747935" w:rsidTr="003A02AC">
        <w:trPr>
          <w:trHeight w:val="315"/>
        </w:trPr>
        <w:tc>
          <w:tcPr>
            <w:tcW w:w="2560" w:type="dxa"/>
            <w:tcBorders>
              <w:top w:val="nil"/>
              <w:left w:val="single" w:sz="8" w:space="0" w:color="000000"/>
              <w:bottom w:val="single" w:sz="8" w:space="0" w:color="000000"/>
              <w:right w:val="single" w:sz="8" w:space="0" w:color="000000"/>
            </w:tcBorders>
            <w:shd w:val="clear" w:color="auto" w:fill="auto"/>
            <w:noWrap/>
            <w:vAlign w:val="center"/>
            <w:hideMark/>
          </w:tcPr>
          <w:p w:rsidR="00D32CA0" w:rsidRPr="00747935" w:rsidRDefault="00D32CA0" w:rsidP="00D32CA0">
            <w:pPr>
              <w:rPr>
                <w:rFonts w:cs="Arial"/>
                <w:color w:val="000000"/>
                <w:sz w:val="18"/>
                <w:szCs w:val="18"/>
                <w:lang w:val="es-ES"/>
              </w:rPr>
            </w:pPr>
            <w:r w:rsidRPr="00747935">
              <w:rPr>
                <w:rFonts w:cs="Arial"/>
                <w:color w:val="000000"/>
                <w:sz w:val="18"/>
                <w:szCs w:val="18"/>
              </w:rPr>
              <w:t>AFILIADOS</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228</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233</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234</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246</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6</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12</w:t>
            </w:r>
          </w:p>
        </w:tc>
        <w:tc>
          <w:tcPr>
            <w:tcW w:w="1460" w:type="dxa"/>
            <w:tcBorders>
              <w:top w:val="nil"/>
              <w:left w:val="nil"/>
              <w:bottom w:val="single" w:sz="8" w:space="0" w:color="000000"/>
              <w:right w:val="single" w:sz="8" w:space="0" w:color="000000"/>
            </w:tcBorders>
            <w:shd w:val="clear" w:color="000000" w:fill="FFFFFF"/>
            <w:vAlign w:val="center"/>
            <w:hideMark/>
          </w:tcPr>
          <w:p w:rsidR="00D32CA0" w:rsidRPr="00EE4566" w:rsidRDefault="00D32CA0" w:rsidP="00D32CA0">
            <w:pPr>
              <w:jc w:val="center"/>
              <w:rPr>
                <w:rFonts w:cs="Arial"/>
                <w:i/>
                <w:iCs/>
                <w:color w:val="000000"/>
                <w:sz w:val="18"/>
                <w:szCs w:val="18"/>
                <w:lang w:val="es-ES"/>
              </w:rPr>
            </w:pPr>
            <w:r w:rsidRPr="00EE4566">
              <w:rPr>
                <w:rFonts w:cs="Arial"/>
                <w:i/>
                <w:iCs/>
                <w:color w:val="000000"/>
                <w:sz w:val="18"/>
                <w:szCs w:val="18"/>
                <w:lang w:val="es-ES"/>
              </w:rPr>
              <w:t>5%</w:t>
            </w:r>
          </w:p>
        </w:tc>
      </w:tr>
      <w:tr w:rsidR="00D32CA0" w:rsidRPr="00747935" w:rsidTr="003A02AC">
        <w:trPr>
          <w:trHeight w:val="315"/>
        </w:trPr>
        <w:tc>
          <w:tcPr>
            <w:tcW w:w="2560" w:type="dxa"/>
            <w:tcBorders>
              <w:top w:val="nil"/>
              <w:left w:val="single" w:sz="8" w:space="0" w:color="000000"/>
              <w:bottom w:val="nil"/>
              <w:right w:val="single" w:sz="8" w:space="0" w:color="000000"/>
            </w:tcBorders>
            <w:shd w:val="clear" w:color="auto" w:fill="auto"/>
            <w:noWrap/>
            <w:vAlign w:val="center"/>
            <w:hideMark/>
          </w:tcPr>
          <w:p w:rsidR="00D32CA0" w:rsidRPr="00747935" w:rsidRDefault="00D32CA0" w:rsidP="00D32CA0">
            <w:pPr>
              <w:rPr>
                <w:rFonts w:cs="Arial"/>
                <w:color w:val="000000"/>
                <w:sz w:val="18"/>
                <w:szCs w:val="18"/>
                <w:lang w:val="es-ES"/>
              </w:rPr>
            </w:pPr>
            <w:r w:rsidRPr="00747935">
              <w:rPr>
                <w:rFonts w:cs="Arial"/>
                <w:color w:val="000000"/>
                <w:sz w:val="18"/>
                <w:szCs w:val="18"/>
              </w:rPr>
              <w:t>RESTO CON DISCAPACIDAD</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5.933</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5.885</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6.584</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6.812</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651</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228</w:t>
            </w:r>
          </w:p>
        </w:tc>
        <w:tc>
          <w:tcPr>
            <w:tcW w:w="1460" w:type="dxa"/>
            <w:tcBorders>
              <w:top w:val="nil"/>
              <w:left w:val="nil"/>
              <w:bottom w:val="single" w:sz="8" w:space="0" w:color="000000"/>
              <w:right w:val="single" w:sz="8" w:space="0" w:color="000000"/>
            </w:tcBorders>
            <w:shd w:val="clear" w:color="000000" w:fill="FFFFFF"/>
            <w:vAlign w:val="center"/>
            <w:hideMark/>
          </w:tcPr>
          <w:p w:rsidR="00D32CA0" w:rsidRPr="00EE4566" w:rsidRDefault="00D32CA0" w:rsidP="00D32CA0">
            <w:pPr>
              <w:jc w:val="center"/>
              <w:rPr>
                <w:rFonts w:cs="Arial"/>
                <w:i/>
                <w:iCs/>
                <w:color w:val="000000"/>
                <w:sz w:val="18"/>
                <w:szCs w:val="18"/>
                <w:lang w:val="es-ES"/>
              </w:rPr>
            </w:pPr>
            <w:r w:rsidRPr="00EE4566">
              <w:rPr>
                <w:rFonts w:cs="Arial"/>
                <w:i/>
                <w:iCs/>
                <w:color w:val="000000"/>
                <w:sz w:val="18"/>
                <w:szCs w:val="18"/>
                <w:lang w:val="es-ES"/>
              </w:rPr>
              <w:t>3%</w:t>
            </w:r>
          </w:p>
        </w:tc>
      </w:tr>
      <w:tr w:rsidR="00D32CA0" w:rsidRPr="00BF7448" w:rsidTr="003A02AC">
        <w:trPr>
          <w:trHeight w:val="315"/>
        </w:trPr>
        <w:tc>
          <w:tcPr>
            <w:tcW w:w="256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32CA0" w:rsidRPr="00BF7448" w:rsidRDefault="00D32CA0" w:rsidP="00D32CA0">
            <w:pPr>
              <w:rPr>
                <w:rFonts w:cs="Arial"/>
                <w:b/>
                <w:bCs/>
                <w:color w:val="016FB8"/>
                <w:sz w:val="18"/>
                <w:szCs w:val="18"/>
                <w:lang w:val="es-ES"/>
              </w:rPr>
            </w:pPr>
            <w:r w:rsidRPr="00BF7448">
              <w:rPr>
                <w:rFonts w:cs="Arial"/>
                <w:b/>
                <w:bCs/>
                <w:color w:val="016FB8"/>
                <w:sz w:val="18"/>
                <w:szCs w:val="18"/>
              </w:rPr>
              <w:t>TOTAL CON DISCAPACIDAD</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6.161</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6.118</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6.818</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7.058</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657</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240</w:t>
            </w:r>
          </w:p>
        </w:tc>
        <w:tc>
          <w:tcPr>
            <w:tcW w:w="146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i/>
                <w:color w:val="016FB8"/>
                <w:sz w:val="18"/>
                <w:szCs w:val="18"/>
                <w:lang w:val="es-ES"/>
              </w:rPr>
            </w:pPr>
            <w:r w:rsidRPr="00BF7448">
              <w:rPr>
                <w:rFonts w:cs="Arial"/>
                <w:b/>
                <w:bCs/>
                <w:i/>
                <w:color w:val="016FB8"/>
                <w:sz w:val="18"/>
                <w:szCs w:val="18"/>
                <w:lang w:val="es-ES"/>
              </w:rPr>
              <w:t>4%</w:t>
            </w:r>
          </w:p>
        </w:tc>
      </w:tr>
      <w:tr w:rsidR="00D32CA0" w:rsidRPr="00747935" w:rsidTr="003A02AC">
        <w:trPr>
          <w:trHeight w:val="315"/>
        </w:trPr>
        <w:tc>
          <w:tcPr>
            <w:tcW w:w="2560" w:type="dxa"/>
            <w:tcBorders>
              <w:top w:val="nil"/>
              <w:left w:val="single" w:sz="8" w:space="0" w:color="auto"/>
              <w:bottom w:val="single" w:sz="8" w:space="0" w:color="auto"/>
              <w:right w:val="single" w:sz="8" w:space="0" w:color="000000"/>
            </w:tcBorders>
            <w:shd w:val="clear" w:color="auto" w:fill="auto"/>
            <w:noWrap/>
            <w:vAlign w:val="center"/>
            <w:hideMark/>
          </w:tcPr>
          <w:p w:rsidR="00D32CA0" w:rsidRPr="00747935" w:rsidRDefault="00D32CA0" w:rsidP="00D32CA0">
            <w:pPr>
              <w:rPr>
                <w:rFonts w:cs="Arial"/>
                <w:color w:val="000000"/>
                <w:sz w:val="18"/>
                <w:szCs w:val="18"/>
                <w:lang w:val="es-ES"/>
              </w:rPr>
            </w:pPr>
            <w:r w:rsidRPr="00747935">
              <w:rPr>
                <w:rFonts w:cs="Arial"/>
                <w:color w:val="000000"/>
                <w:sz w:val="18"/>
                <w:szCs w:val="18"/>
              </w:rPr>
              <w:t>SIN DISCAPACIDAD</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3.650</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3.558</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3.648</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3.722</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-2</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EE4566" w:rsidRDefault="00D32CA0" w:rsidP="00D32CA0">
            <w:pPr>
              <w:jc w:val="center"/>
              <w:rPr>
                <w:rFonts w:cs="Arial"/>
                <w:color w:val="000000"/>
                <w:sz w:val="18"/>
                <w:szCs w:val="18"/>
                <w:lang w:val="es-ES"/>
              </w:rPr>
            </w:pPr>
            <w:r w:rsidRPr="00EE4566">
              <w:rPr>
                <w:rFonts w:cs="Arial"/>
                <w:color w:val="000000"/>
                <w:sz w:val="18"/>
                <w:szCs w:val="18"/>
                <w:lang w:val="es-ES"/>
              </w:rPr>
              <w:t>74</w:t>
            </w:r>
          </w:p>
        </w:tc>
        <w:tc>
          <w:tcPr>
            <w:tcW w:w="1460" w:type="dxa"/>
            <w:tcBorders>
              <w:top w:val="nil"/>
              <w:left w:val="nil"/>
              <w:bottom w:val="single" w:sz="8" w:space="0" w:color="000000"/>
              <w:right w:val="single" w:sz="8" w:space="0" w:color="000000"/>
            </w:tcBorders>
            <w:shd w:val="clear" w:color="000000" w:fill="FFFFFF"/>
            <w:vAlign w:val="center"/>
            <w:hideMark/>
          </w:tcPr>
          <w:p w:rsidR="00D32CA0" w:rsidRPr="00EE4566" w:rsidRDefault="00D32CA0" w:rsidP="00D32CA0">
            <w:pPr>
              <w:jc w:val="center"/>
              <w:rPr>
                <w:rFonts w:cs="Arial"/>
                <w:i/>
                <w:iCs/>
                <w:color w:val="000000"/>
                <w:sz w:val="18"/>
                <w:szCs w:val="18"/>
                <w:lang w:val="es-ES"/>
              </w:rPr>
            </w:pPr>
            <w:r w:rsidRPr="00EE4566">
              <w:rPr>
                <w:rFonts w:cs="Arial"/>
                <w:i/>
                <w:iCs/>
                <w:color w:val="000000"/>
                <w:sz w:val="18"/>
                <w:szCs w:val="18"/>
                <w:lang w:val="es-ES"/>
              </w:rPr>
              <w:t>2%</w:t>
            </w:r>
          </w:p>
        </w:tc>
      </w:tr>
      <w:tr w:rsidR="00D32CA0" w:rsidRPr="00BF7448" w:rsidTr="003A02AC">
        <w:trPr>
          <w:trHeight w:val="315"/>
        </w:trPr>
        <w:tc>
          <w:tcPr>
            <w:tcW w:w="2560" w:type="dxa"/>
            <w:tcBorders>
              <w:top w:val="nil"/>
              <w:left w:val="single" w:sz="8" w:space="0" w:color="000000"/>
              <w:bottom w:val="nil"/>
              <w:right w:val="single" w:sz="8" w:space="0" w:color="000000"/>
            </w:tcBorders>
            <w:shd w:val="clear" w:color="auto" w:fill="auto"/>
            <w:noWrap/>
            <w:vAlign w:val="center"/>
            <w:hideMark/>
          </w:tcPr>
          <w:p w:rsidR="00D32CA0" w:rsidRPr="00BF7448" w:rsidRDefault="00D32CA0" w:rsidP="00D32CA0">
            <w:pPr>
              <w:rPr>
                <w:rFonts w:cs="Arial"/>
                <w:b/>
                <w:bCs/>
                <w:color w:val="016FB8"/>
                <w:sz w:val="18"/>
                <w:szCs w:val="18"/>
                <w:lang w:val="es-ES"/>
              </w:rPr>
            </w:pPr>
            <w:r w:rsidRPr="00BF7448">
              <w:rPr>
                <w:rFonts w:cs="Arial"/>
                <w:b/>
                <w:bCs/>
                <w:color w:val="016FB8"/>
                <w:sz w:val="18"/>
                <w:szCs w:val="18"/>
              </w:rPr>
              <w:t>TOTAL</w:t>
            </w:r>
          </w:p>
        </w:tc>
        <w:tc>
          <w:tcPr>
            <w:tcW w:w="82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9.811</w:t>
            </w:r>
          </w:p>
        </w:tc>
        <w:tc>
          <w:tcPr>
            <w:tcW w:w="86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9.676</w:t>
            </w:r>
          </w:p>
        </w:tc>
        <w:tc>
          <w:tcPr>
            <w:tcW w:w="109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10.466</w:t>
            </w:r>
          </w:p>
        </w:tc>
        <w:tc>
          <w:tcPr>
            <w:tcW w:w="94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10.780</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655</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314</w:t>
            </w:r>
          </w:p>
        </w:tc>
        <w:tc>
          <w:tcPr>
            <w:tcW w:w="1460"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b/>
                <w:bCs/>
                <w:color w:val="016FB8"/>
                <w:sz w:val="18"/>
                <w:szCs w:val="18"/>
                <w:lang w:val="es-ES"/>
              </w:rPr>
            </w:pPr>
            <w:r w:rsidRPr="00BF7448">
              <w:rPr>
                <w:rFonts w:cs="Arial"/>
                <w:b/>
                <w:bCs/>
                <w:color w:val="016FB8"/>
                <w:sz w:val="18"/>
                <w:szCs w:val="18"/>
                <w:lang w:val="es-ES"/>
              </w:rPr>
              <w:t>3%</w:t>
            </w:r>
          </w:p>
        </w:tc>
      </w:tr>
      <w:tr w:rsidR="00D32CA0" w:rsidRPr="00BF7448" w:rsidTr="00275BCF">
        <w:trPr>
          <w:trHeight w:val="495"/>
        </w:trPr>
        <w:tc>
          <w:tcPr>
            <w:tcW w:w="2560" w:type="dxa"/>
            <w:tcBorders>
              <w:top w:val="single" w:sz="8" w:space="0" w:color="auto"/>
              <w:left w:val="single" w:sz="8" w:space="0" w:color="auto"/>
              <w:bottom w:val="single" w:sz="8" w:space="0" w:color="auto"/>
              <w:right w:val="nil"/>
            </w:tcBorders>
            <w:shd w:val="clear" w:color="auto" w:fill="auto"/>
            <w:vAlign w:val="center"/>
            <w:hideMark/>
          </w:tcPr>
          <w:p w:rsidR="00D32CA0" w:rsidRPr="00BF7448" w:rsidRDefault="00D32CA0" w:rsidP="00D32CA0">
            <w:pPr>
              <w:rPr>
                <w:rFonts w:cs="Arial"/>
                <w:b/>
                <w:bCs/>
                <w:color w:val="016FB8"/>
                <w:sz w:val="18"/>
                <w:szCs w:val="18"/>
                <w:lang w:val="es-ES"/>
              </w:rPr>
            </w:pPr>
            <w:r w:rsidRPr="00BF7448">
              <w:rPr>
                <w:rFonts w:cs="Arial"/>
                <w:b/>
                <w:bCs/>
                <w:color w:val="016FB8"/>
                <w:sz w:val="18"/>
                <w:szCs w:val="18"/>
              </w:rPr>
              <w:t>Porcentaje de plantilla con discapacidad s/ total</w:t>
            </w:r>
          </w:p>
        </w:tc>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D32CA0" w:rsidRPr="00BF7448" w:rsidRDefault="00D32CA0" w:rsidP="00D32CA0">
            <w:pPr>
              <w:jc w:val="center"/>
              <w:rPr>
                <w:rFonts w:cs="Arial"/>
                <w:color w:val="016FB8"/>
                <w:sz w:val="18"/>
                <w:szCs w:val="18"/>
                <w:lang w:val="es-ES"/>
              </w:rPr>
            </w:pPr>
            <w:r w:rsidRPr="00BF7448">
              <w:rPr>
                <w:rFonts w:cs="Arial"/>
                <w:color w:val="016FB8"/>
                <w:sz w:val="18"/>
                <w:szCs w:val="18"/>
                <w:lang w:val="es-ES"/>
              </w:rPr>
              <w:t>62,80%</w:t>
            </w:r>
          </w:p>
        </w:tc>
        <w:tc>
          <w:tcPr>
            <w:tcW w:w="860" w:type="dxa"/>
            <w:tcBorders>
              <w:top w:val="nil"/>
              <w:left w:val="nil"/>
              <w:bottom w:val="single" w:sz="8" w:space="0" w:color="auto"/>
              <w:right w:val="single" w:sz="8" w:space="0" w:color="auto"/>
            </w:tcBorders>
            <w:shd w:val="clear" w:color="auto" w:fill="auto"/>
            <w:noWrap/>
            <w:vAlign w:val="center"/>
            <w:hideMark/>
          </w:tcPr>
          <w:p w:rsidR="00D32CA0" w:rsidRPr="00BF7448" w:rsidRDefault="00D32CA0" w:rsidP="00D32CA0">
            <w:pPr>
              <w:jc w:val="center"/>
              <w:rPr>
                <w:rFonts w:cs="Arial"/>
                <w:color w:val="016FB8"/>
                <w:sz w:val="18"/>
                <w:szCs w:val="18"/>
                <w:lang w:val="es-ES"/>
              </w:rPr>
            </w:pPr>
            <w:r w:rsidRPr="00BF7448">
              <w:rPr>
                <w:rFonts w:cs="Arial"/>
                <w:color w:val="016FB8"/>
                <w:sz w:val="18"/>
                <w:szCs w:val="18"/>
                <w:lang w:val="es-ES"/>
              </w:rPr>
              <w:t>63,23%</w:t>
            </w:r>
          </w:p>
        </w:tc>
        <w:tc>
          <w:tcPr>
            <w:tcW w:w="1091" w:type="dxa"/>
            <w:tcBorders>
              <w:top w:val="nil"/>
              <w:left w:val="nil"/>
              <w:bottom w:val="single" w:sz="8" w:space="0" w:color="auto"/>
              <w:right w:val="single" w:sz="8" w:space="0" w:color="auto"/>
            </w:tcBorders>
            <w:shd w:val="clear" w:color="auto" w:fill="auto"/>
            <w:noWrap/>
            <w:vAlign w:val="center"/>
            <w:hideMark/>
          </w:tcPr>
          <w:p w:rsidR="00D32CA0" w:rsidRPr="00BF7448" w:rsidRDefault="00D32CA0" w:rsidP="00D32CA0">
            <w:pPr>
              <w:jc w:val="center"/>
              <w:rPr>
                <w:rFonts w:cs="Arial"/>
                <w:color w:val="016FB8"/>
                <w:sz w:val="18"/>
                <w:szCs w:val="18"/>
                <w:lang w:val="es-ES"/>
              </w:rPr>
            </w:pPr>
            <w:r w:rsidRPr="00BF7448">
              <w:rPr>
                <w:rFonts w:cs="Arial"/>
                <w:color w:val="016FB8"/>
                <w:sz w:val="18"/>
                <w:szCs w:val="18"/>
                <w:lang w:val="es-ES"/>
              </w:rPr>
              <w:t>65,14%</w:t>
            </w:r>
          </w:p>
        </w:tc>
        <w:tc>
          <w:tcPr>
            <w:tcW w:w="940" w:type="dxa"/>
            <w:tcBorders>
              <w:top w:val="nil"/>
              <w:left w:val="nil"/>
              <w:bottom w:val="single" w:sz="8" w:space="0" w:color="auto"/>
              <w:right w:val="single" w:sz="8" w:space="0" w:color="auto"/>
            </w:tcBorders>
            <w:shd w:val="clear" w:color="auto" w:fill="auto"/>
            <w:noWrap/>
            <w:vAlign w:val="center"/>
            <w:hideMark/>
          </w:tcPr>
          <w:p w:rsidR="00D32CA0" w:rsidRPr="00BF7448" w:rsidRDefault="00D32CA0" w:rsidP="00D32CA0">
            <w:pPr>
              <w:jc w:val="center"/>
              <w:rPr>
                <w:rFonts w:cs="Arial"/>
                <w:color w:val="016FB8"/>
                <w:sz w:val="18"/>
                <w:szCs w:val="18"/>
                <w:lang w:val="es-ES"/>
              </w:rPr>
            </w:pPr>
            <w:r w:rsidRPr="00BF7448">
              <w:rPr>
                <w:rFonts w:cs="Arial"/>
                <w:color w:val="016FB8"/>
                <w:sz w:val="18"/>
                <w:szCs w:val="18"/>
                <w:lang w:val="es-ES"/>
              </w:rPr>
              <w:t>65,47%</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275BCF">
            <w:pPr>
              <w:jc w:val="center"/>
              <w:rPr>
                <w:rFonts w:cs="Arial"/>
                <w:color w:val="016FB8"/>
                <w:sz w:val="18"/>
                <w:szCs w:val="18"/>
                <w:lang w:val="es-ES"/>
              </w:rPr>
            </w:pPr>
            <w:r w:rsidRPr="00BF7448">
              <w:rPr>
                <w:rFonts w:cs="Arial"/>
                <w:color w:val="016FB8"/>
                <w:sz w:val="18"/>
                <w:szCs w:val="18"/>
                <w:lang w:val="es-ES"/>
              </w:rPr>
              <w:t>2,3</w:t>
            </w:r>
            <w:r w:rsidR="00275BCF" w:rsidRPr="00BF7448">
              <w:rPr>
                <w:rFonts w:cs="Arial"/>
                <w:color w:val="016FB8"/>
                <w:sz w:val="18"/>
                <w:szCs w:val="18"/>
                <w:lang w:val="es-ES"/>
              </w:rPr>
              <w:t>4</w:t>
            </w:r>
            <w:r w:rsidRPr="00BF7448">
              <w:rPr>
                <w:rFonts w:cs="Arial"/>
                <w:color w:val="016FB8"/>
                <w:sz w:val="18"/>
                <w:szCs w:val="18"/>
                <w:lang w:val="es-ES"/>
              </w:rPr>
              <w:t>%</w:t>
            </w:r>
          </w:p>
        </w:tc>
        <w:tc>
          <w:tcPr>
            <w:tcW w:w="1181" w:type="dxa"/>
            <w:tcBorders>
              <w:top w:val="nil"/>
              <w:left w:val="nil"/>
              <w:bottom w:val="single" w:sz="8" w:space="0" w:color="000000"/>
              <w:right w:val="single" w:sz="8" w:space="0" w:color="000000"/>
            </w:tcBorders>
            <w:shd w:val="clear" w:color="auto" w:fill="auto"/>
            <w:noWrap/>
            <w:vAlign w:val="center"/>
            <w:hideMark/>
          </w:tcPr>
          <w:p w:rsidR="00D32CA0" w:rsidRPr="00BF7448" w:rsidRDefault="00D32CA0" w:rsidP="00D32CA0">
            <w:pPr>
              <w:jc w:val="center"/>
              <w:rPr>
                <w:rFonts w:cs="Arial"/>
                <w:color w:val="016FB8"/>
                <w:sz w:val="18"/>
                <w:szCs w:val="18"/>
                <w:lang w:val="es-ES"/>
              </w:rPr>
            </w:pPr>
            <w:r w:rsidRPr="00BF7448">
              <w:rPr>
                <w:rFonts w:cs="Arial"/>
                <w:color w:val="016FB8"/>
                <w:sz w:val="18"/>
                <w:szCs w:val="18"/>
                <w:lang w:val="es-ES"/>
              </w:rPr>
              <w:t>0,33%</w:t>
            </w:r>
          </w:p>
        </w:tc>
        <w:tc>
          <w:tcPr>
            <w:tcW w:w="1460" w:type="dxa"/>
            <w:tcBorders>
              <w:top w:val="nil"/>
              <w:left w:val="nil"/>
              <w:bottom w:val="single" w:sz="8" w:space="0" w:color="000000"/>
              <w:right w:val="single" w:sz="8" w:space="0" w:color="000000"/>
            </w:tcBorders>
            <w:shd w:val="clear" w:color="auto" w:fill="auto"/>
            <w:vAlign w:val="center"/>
            <w:hideMark/>
          </w:tcPr>
          <w:p w:rsidR="00D32CA0" w:rsidRPr="00BF7448" w:rsidRDefault="00D32CA0" w:rsidP="00D32CA0">
            <w:pPr>
              <w:jc w:val="center"/>
              <w:rPr>
                <w:rFonts w:cs="Arial"/>
                <w:i/>
                <w:iCs/>
                <w:color w:val="016FB8"/>
                <w:sz w:val="18"/>
                <w:szCs w:val="18"/>
                <w:lang w:val="es-ES"/>
              </w:rPr>
            </w:pPr>
            <w:r w:rsidRPr="00BF7448">
              <w:rPr>
                <w:rFonts w:cs="Arial"/>
                <w:i/>
                <w:iCs/>
                <w:color w:val="016FB8"/>
                <w:sz w:val="18"/>
                <w:szCs w:val="18"/>
                <w:lang w:val="es-ES"/>
              </w:rPr>
              <w:t xml:space="preserve"> </w:t>
            </w:r>
            <w:r w:rsidR="00275BCF" w:rsidRPr="00BF7448">
              <w:rPr>
                <w:rFonts w:cs="Arial"/>
                <w:i/>
                <w:iCs/>
                <w:color w:val="016FB8"/>
                <w:sz w:val="18"/>
                <w:szCs w:val="18"/>
                <w:lang w:val="es-ES"/>
              </w:rPr>
              <w:t>0,51%</w:t>
            </w:r>
          </w:p>
        </w:tc>
      </w:tr>
    </w:tbl>
    <w:p w:rsidR="00D32CA0" w:rsidRDefault="00D32CA0" w:rsidP="00D32CA0">
      <w:pPr>
        <w:tabs>
          <w:tab w:val="left" w:pos="720"/>
        </w:tabs>
        <w:ind w:left="360"/>
        <w:rPr>
          <w:rFonts w:cs="Arial"/>
          <w:bCs/>
          <w:kern w:val="32"/>
          <w:szCs w:val="24"/>
        </w:rPr>
      </w:pPr>
    </w:p>
    <w:p w:rsidR="00D32CA0" w:rsidRPr="00017423" w:rsidRDefault="00D32CA0" w:rsidP="00D32CA0">
      <w:pPr>
        <w:tabs>
          <w:tab w:val="left" w:pos="720"/>
        </w:tabs>
        <w:jc w:val="both"/>
        <w:rPr>
          <w:rFonts w:cs="Arial"/>
          <w:bCs/>
          <w:kern w:val="32"/>
          <w:szCs w:val="24"/>
        </w:rPr>
      </w:pPr>
      <w:r w:rsidRPr="00017423">
        <w:rPr>
          <w:rFonts w:cs="Arial"/>
          <w:bCs/>
          <w:kern w:val="32"/>
          <w:szCs w:val="24"/>
        </w:rPr>
        <w:t xml:space="preserve">La creación de empleo para personas con discapacidad en </w:t>
      </w:r>
      <w:r>
        <w:rPr>
          <w:rFonts w:cs="Arial"/>
          <w:bCs/>
          <w:kern w:val="32"/>
          <w:szCs w:val="24"/>
        </w:rPr>
        <w:t xml:space="preserve">la Fundación ONCE, las dos asociaciones FSC Inserta, las Entidades Vinculadas y </w:t>
      </w:r>
      <w:r w:rsidRPr="00017423">
        <w:rPr>
          <w:rFonts w:cs="Arial"/>
          <w:bCs/>
          <w:kern w:val="32"/>
          <w:szCs w:val="24"/>
        </w:rPr>
        <w:t>el Grupo Fundosa en 2014 con respecto al eje</w:t>
      </w:r>
      <w:r>
        <w:rPr>
          <w:rFonts w:cs="Arial"/>
          <w:bCs/>
          <w:kern w:val="32"/>
          <w:szCs w:val="24"/>
        </w:rPr>
        <w:t>rcicio anterior se estima en 657 trabajadores, 6</w:t>
      </w:r>
      <w:r w:rsidRPr="00017423">
        <w:rPr>
          <w:rFonts w:cs="Arial"/>
          <w:bCs/>
          <w:kern w:val="32"/>
          <w:szCs w:val="24"/>
        </w:rPr>
        <w:t xml:space="preserve"> de ellos para afiliados. Por otro lado, la plantilla</w:t>
      </w:r>
      <w:r>
        <w:rPr>
          <w:rFonts w:cs="Arial"/>
          <w:bCs/>
          <w:kern w:val="32"/>
          <w:szCs w:val="24"/>
        </w:rPr>
        <w:t xml:space="preserve"> </w:t>
      </w:r>
      <w:r w:rsidR="002D6B1F">
        <w:rPr>
          <w:rFonts w:cs="Arial"/>
          <w:bCs/>
          <w:kern w:val="32"/>
          <w:szCs w:val="24"/>
        </w:rPr>
        <w:t>de personas sin discapacidad</w:t>
      </w:r>
      <w:r>
        <w:rPr>
          <w:rFonts w:cs="Arial"/>
          <w:bCs/>
          <w:kern w:val="32"/>
          <w:szCs w:val="24"/>
        </w:rPr>
        <w:t xml:space="preserve"> </w:t>
      </w:r>
      <w:r w:rsidRPr="00EE4566">
        <w:rPr>
          <w:rFonts w:cs="Arial"/>
          <w:bCs/>
          <w:kern w:val="32"/>
          <w:szCs w:val="24"/>
        </w:rPr>
        <w:t>disminuye en 2 trabajadores. Por tanto el porcentaje de trabajadores con discapacidad crece en 2,3 puntos, pasando del 62,80% en 2013 al 65,14% en 2014. Estas cifras</w:t>
      </w:r>
      <w:r w:rsidRPr="00017423">
        <w:rPr>
          <w:rFonts w:cs="Arial"/>
          <w:bCs/>
          <w:kern w:val="32"/>
          <w:szCs w:val="24"/>
        </w:rPr>
        <w:t xml:space="preserve"> evidencian un importante esfuerzo por cubrir los nuevos puestos con el mayor número posible de trabajadores con discapacidad, así como por aumentar el porcentaje de trabajadores </w:t>
      </w:r>
      <w:r w:rsidR="002D6B1F">
        <w:rPr>
          <w:rFonts w:cs="Arial"/>
          <w:bCs/>
          <w:kern w:val="32"/>
          <w:szCs w:val="24"/>
        </w:rPr>
        <w:t>con discapacidad</w:t>
      </w:r>
      <w:r w:rsidRPr="00017423">
        <w:rPr>
          <w:rFonts w:cs="Arial"/>
          <w:bCs/>
          <w:kern w:val="32"/>
          <w:szCs w:val="24"/>
        </w:rPr>
        <w:t xml:space="preserve"> en puestos actuales. </w:t>
      </w:r>
    </w:p>
    <w:p w:rsidR="00D32CA0" w:rsidRPr="00017423" w:rsidRDefault="00D32CA0" w:rsidP="00D32CA0">
      <w:pPr>
        <w:tabs>
          <w:tab w:val="left" w:pos="720"/>
        </w:tabs>
        <w:ind w:left="360"/>
        <w:jc w:val="both"/>
        <w:rPr>
          <w:rFonts w:cs="Arial"/>
          <w:bCs/>
          <w:kern w:val="32"/>
          <w:szCs w:val="24"/>
        </w:rPr>
      </w:pPr>
    </w:p>
    <w:p w:rsidR="00D32CA0" w:rsidRPr="00017423" w:rsidRDefault="00D32CA0" w:rsidP="00D32CA0">
      <w:pPr>
        <w:tabs>
          <w:tab w:val="left" w:pos="720"/>
        </w:tabs>
        <w:jc w:val="both"/>
        <w:rPr>
          <w:rFonts w:cs="Arial"/>
          <w:bCs/>
          <w:kern w:val="32"/>
          <w:szCs w:val="24"/>
        </w:rPr>
      </w:pPr>
      <w:r w:rsidRPr="00017423">
        <w:rPr>
          <w:rFonts w:cs="Arial"/>
          <w:bCs/>
          <w:kern w:val="32"/>
          <w:szCs w:val="24"/>
        </w:rPr>
        <w:t>Las principales variaciones estimadas en plantilla discapacitada en 2014 con respecto al 2013 se indican en la siguiente tabla:</w:t>
      </w:r>
    </w:p>
    <w:p w:rsidR="00D32CA0" w:rsidRPr="000B4B5C" w:rsidRDefault="00D32CA0" w:rsidP="00D32CA0">
      <w:pPr>
        <w:tabs>
          <w:tab w:val="left" w:pos="720"/>
        </w:tabs>
        <w:ind w:left="360"/>
        <w:rPr>
          <w:rFonts w:cs="Arial"/>
          <w:bCs/>
          <w:kern w:val="32"/>
          <w:szCs w:val="24"/>
        </w:rPr>
      </w:pPr>
    </w:p>
    <w:tbl>
      <w:tblPr>
        <w:tblW w:w="0" w:type="auto"/>
        <w:tblInd w:w="2129" w:type="dxa"/>
        <w:tblLayout w:type="fixed"/>
        <w:tblCellMar>
          <w:left w:w="70" w:type="dxa"/>
          <w:right w:w="70" w:type="dxa"/>
        </w:tblCellMar>
        <w:tblLook w:val="04A0" w:firstRow="1" w:lastRow="0" w:firstColumn="1" w:lastColumn="0" w:noHBand="0" w:noVBand="1"/>
      </w:tblPr>
      <w:tblGrid>
        <w:gridCol w:w="2562"/>
        <w:gridCol w:w="2042"/>
      </w:tblGrid>
      <w:tr w:rsidR="00D32CA0" w:rsidRPr="003609C2" w:rsidTr="003A02AC">
        <w:trPr>
          <w:trHeight w:val="715"/>
        </w:trPr>
        <w:tc>
          <w:tcPr>
            <w:tcW w:w="25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2CA0" w:rsidRPr="00BF7448" w:rsidRDefault="00D32CA0" w:rsidP="003A02AC">
            <w:pPr>
              <w:jc w:val="center"/>
              <w:rPr>
                <w:rFonts w:cs="Arial"/>
                <w:b/>
                <w:bCs/>
                <w:color w:val="016FB8"/>
                <w:sz w:val="22"/>
                <w:szCs w:val="22"/>
              </w:rPr>
            </w:pPr>
            <w:r w:rsidRPr="00BF7448">
              <w:rPr>
                <w:rFonts w:cs="Arial"/>
                <w:b/>
                <w:bCs/>
                <w:color w:val="016FB8"/>
                <w:kern w:val="32"/>
                <w:sz w:val="22"/>
                <w:szCs w:val="22"/>
              </w:rPr>
              <w:t>SOCIEDAD</w:t>
            </w:r>
          </w:p>
        </w:tc>
        <w:tc>
          <w:tcPr>
            <w:tcW w:w="2042" w:type="dxa"/>
            <w:tcBorders>
              <w:top w:val="single" w:sz="8" w:space="0" w:color="auto"/>
              <w:left w:val="nil"/>
              <w:bottom w:val="single" w:sz="8" w:space="0" w:color="auto"/>
              <w:right w:val="single" w:sz="8" w:space="0" w:color="auto"/>
            </w:tcBorders>
            <w:shd w:val="clear" w:color="auto" w:fill="auto"/>
            <w:noWrap/>
            <w:vAlign w:val="bottom"/>
            <w:hideMark/>
          </w:tcPr>
          <w:p w:rsidR="00D32CA0" w:rsidRPr="00BF7448" w:rsidRDefault="00D32CA0" w:rsidP="003A02AC">
            <w:pPr>
              <w:rPr>
                <w:rFonts w:cs="Arial"/>
                <w:b/>
                <w:bCs/>
                <w:color w:val="016FB8"/>
                <w:sz w:val="22"/>
                <w:szCs w:val="22"/>
              </w:rPr>
            </w:pPr>
            <w:r w:rsidRPr="00BF7448">
              <w:rPr>
                <w:rFonts w:cs="Arial"/>
                <w:b/>
                <w:bCs/>
                <w:color w:val="016FB8"/>
                <w:kern w:val="32"/>
                <w:sz w:val="22"/>
                <w:szCs w:val="22"/>
              </w:rPr>
              <w:t>INCREMENTO/ (DISMINUCIÓN)</w:t>
            </w:r>
          </w:p>
        </w:tc>
      </w:tr>
      <w:tr w:rsidR="00D32CA0" w:rsidRPr="00017423" w:rsidTr="003A02AC">
        <w:trPr>
          <w:trHeight w:val="315"/>
        </w:trPr>
        <w:tc>
          <w:tcPr>
            <w:tcW w:w="2562" w:type="dxa"/>
            <w:tcBorders>
              <w:top w:val="nil"/>
              <w:left w:val="single" w:sz="8" w:space="0" w:color="auto"/>
              <w:bottom w:val="single" w:sz="8" w:space="0" w:color="auto"/>
              <w:right w:val="single" w:sz="8" w:space="0" w:color="auto"/>
            </w:tcBorders>
            <w:shd w:val="clear" w:color="auto" w:fill="auto"/>
            <w:noWrap/>
            <w:vAlign w:val="bottom"/>
            <w:hideMark/>
          </w:tcPr>
          <w:p w:rsidR="00D32CA0" w:rsidRPr="00017423" w:rsidRDefault="00D32CA0" w:rsidP="003A02AC">
            <w:pPr>
              <w:rPr>
                <w:rFonts w:cs="Arial"/>
                <w:sz w:val="22"/>
                <w:szCs w:val="22"/>
              </w:rPr>
            </w:pPr>
            <w:r w:rsidRPr="00017423">
              <w:rPr>
                <w:rFonts w:cs="Arial"/>
                <w:bCs/>
                <w:kern w:val="32"/>
                <w:sz w:val="22"/>
                <w:szCs w:val="22"/>
              </w:rPr>
              <w:t>Grupo Flisa</w:t>
            </w:r>
          </w:p>
        </w:tc>
        <w:tc>
          <w:tcPr>
            <w:tcW w:w="2042" w:type="dxa"/>
            <w:tcBorders>
              <w:top w:val="nil"/>
              <w:left w:val="nil"/>
              <w:bottom w:val="single" w:sz="8" w:space="0" w:color="auto"/>
              <w:right w:val="single" w:sz="8" w:space="0" w:color="auto"/>
            </w:tcBorders>
            <w:shd w:val="clear" w:color="auto" w:fill="auto"/>
            <w:noWrap/>
            <w:vAlign w:val="bottom"/>
            <w:hideMark/>
          </w:tcPr>
          <w:p w:rsidR="00D32CA0" w:rsidRPr="00017423" w:rsidRDefault="00D32CA0" w:rsidP="003A02AC">
            <w:pPr>
              <w:jc w:val="center"/>
              <w:rPr>
                <w:rFonts w:cs="Arial"/>
                <w:sz w:val="22"/>
                <w:szCs w:val="22"/>
              </w:rPr>
            </w:pPr>
            <w:r w:rsidRPr="00017423">
              <w:rPr>
                <w:rFonts w:cs="Arial"/>
                <w:bCs/>
                <w:kern w:val="32"/>
                <w:sz w:val="22"/>
                <w:szCs w:val="22"/>
              </w:rPr>
              <w:t>324</w:t>
            </w:r>
          </w:p>
        </w:tc>
      </w:tr>
      <w:tr w:rsidR="00D32CA0" w:rsidRPr="00017423" w:rsidTr="003A02AC">
        <w:trPr>
          <w:trHeight w:val="315"/>
        </w:trPr>
        <w:tc>
          <w:tcPr>
            <w:tcW w:w="2562" w:type="dxa"/>
            <w:tcBorders>
              <w:top w:val="nil"/>
              <w:left w:val="single" w:sz="8" w:space="0" w:color="auto"/>
              <w:bottom w:val="single" w:sz="8" w:space="0" w:color="auto"/>
              <w:right w:val="single" w:sz="8" w:space="0" w:color="auto"/>
            </w:tcBorders>
            <w:shd w:val="clear" w:color="auto" w:fill="auto"/>
            <w:noWrap/>
            <w:vAlign w:val="bottom"/>
            <w:hideMark/>
          </w:tcPr>
          <w:p w:rsidR="00D32CA0" w:rsidRPr="00017423" w:rsidRDefault="00D32CA0" w:rsidP="003A02AC">
            <w:pPr>
              <w:rPr>
                <w:rFonts w:cs="Arial"/>
                <w:sz w:val="22"/>
                <w:szCs w:val="22"/>
              </w:rPr>
            </w:pPr>
            <w:r w:rsidRPr="00017423">
              <w:rPr>
                <w:rFonts w:cs="Arial"/>
                <w:bCs/>
                <w:kern w:val="32"/>
                <w:sz w:val="22"/>
                <w:szCs w:val="22"/>
              </w:rPr>
              <w:t>MLV</w:t>
            </w:r>
          </w:p>
        </w:tc>
        <w:tc>
          <w:tcPr>
            <w:tcW w:w="2042" w:type="dxa"/>
            <w:tcBorders>
              <w:top w:val="nil"/>
              <w:left w:val="nil"/>
              <w:bottom w:val="single" w:sz="8" w:space="0" w:color="auto"/>
              <w:right w:val="single" w:sz="8" w:space="0" w:color="auto"/>
            </w:tcBorders>
            <w:shd w:val="clear" w:color="auto" w:fill="auto"/>
            <w:noWrap/>
            <w:vAlign w:val="bottom"/>
            <w:hideMark/>
          </w:tcPr>
          <w:p w:rsidR="00D32CA0" w:rsidRPr="00017423" w:rsidRDefault="00D32CA0" w:rsidP="003A02AC">
            <w:pPr>
              <w:jc w:val="center"/>
              <w:rPr>
                <w:rFonts w:cs="Arial"/>
                <w:sz w:val="22"/>
                <w:szCs w:val="22"/>
              </w:rPr>
            </w:pPr>
            <w:r w:rsidRPr="00017423">
              <w:rPr>
                <w:rFonts w:cs="Arial"/>
                <w:bCs/>
                <w:kern w:val="32"/>
                <w:sz w:val="22"/>
                <w:szCs w:val="22"/>
              </w:rPr>
              <w:t>139</w:t>
            </w:r>
          </w:p>
        </w:tc>
      </w:tr>
      <w:tr w:rsidR="00D32CA0" w:rsidRPr="00017423" w:rsidTr="003A02AC">
        <w:trPr>
          <w:trHeight w:val="315"/>
        </w:trPr>
        <w:tc>
          <w:tcPr>
            <w:tcW w:w="2562" w:type="dxa"/>
            <w:tcBorders>
              <w:top w:val="nil"/>
              <w:left w:val="single" w:sz="8" w:space="0" w:color="auto"/>
              <w:bottom w:val="single" w:sz="8" w:space="0" w:color="auto"/>
              <w:right w:val="single" w:sz="8" w:space="0" w:color="auto"/>
            </w:tcBorders>
            <w:shd w:val="clear" w:color="auto" w:fill="auto"/>
            <w:noWrap/>
            <w:vAlign w:val="bottom"/>
            <w:hideMark/>
          </w:tcPr>
          <w:p w:rsidR="00D32CA0" w:rsidRPr="00017423" w:rsidRDefault="00D32CA0" w:rsidP="003A02AC">
            <w:pPr>
              <w:rPr>
                <w:rFonts w:cs="Arial"/>
                <w:sz w:val="22"/>
                <w:szCs w:val="22"/>
              </w:rPr>
            </w:pPr>
            <w:r w:rsidRPr="00017423">
              <w:rPr>
                <w:rFonts w:cs="Arial"/>
                <w:bCs/>
                <w:kern w:val="32"/>
                <w:sz w:val="22"/>
                <w:szCs w:val="22"/>
              </w:rPr>
              <w:t>FSI Zona Centro</w:t>
            </w:r>
          </w:p>
        </w:tc>
        <w:tc>
          <w:tcPr>
            <w:tcW w:w="2042" w:type="dxa"/>
            <w:tcBorders>
              <w:top w:val="nil"/>
              <w:left w:val="nil"/>
              <w:bottom w:val="single" w:sz="8" w:space="0" w:color="auto"/>
              <w:right w:val="single" w:sz="8" w:space="0" w:color="auto"/>
            </w:tcBorders>
            <w:shd w:val="clear" w:color="auto" w:fill="auto"/>
            <w:noWrap/>
            <w:vAlign w:val="bottom"/>
            <w:hideMark/>
          </w:tcPr>
          <w:p w:rsidR="00D32CA0" w:rsidRPr="00017423" w:rsidRDefault="00D32CA0" w:rsidP="003A02AC">
            <w:pPr>
              <w:jc w:val="center"/>
              <w:rPr>
                <w:rFonts w:cs="Arial"/>
                <w:sz w:val="22"/>
                <w:szCs w:val="22"/>
              </w:rPr>
            </w:pPr>
            <w:r w:rsidRPr="00017423">
              <w:rPr>
                <w:rFonts w:cs="Arial"/>
                <w:bCs/>
                <w:kern w:val="32"/>
                <w:sz w:val="22"/>
                <w:szCs w:val="22"/>
              </w:rPr>
              <w:t>67</w:t>
            </w:r>
          </w:p>
        </w:tc>
      </w:tr>
      <w:tr w:rsidR="00D32CA0" w:rsidRPr="00017423" w:rsidTr="003A02AC">
        <w:trPr>
          <w:trHeight w:val="315"/>
        </w:trPr>
        <w:tc>
          <w:tcPr>
            <w:tcW w:w="2562" w:type="dxa"/>
            <w:tcBorders>
              <w:top w:val="nil"/>
              <w:left w:val="single" w:sz="8" w:space="0" w:color="auto"/>
              <w:bottom w:val="single" w:sz="8" w:space="0" w:color="auto"/>
              <w:right w:val="single" w:sz="8" w:space="0" w:color="auto"/>
            </w:tcBorders>
            <w:shd w:val="clear" w:color="auto" w:fill="auto"/>
            <w:noWrap/>
            <w:vAlign w:val="bottom"/>
            <w:hideMark/>
          </w:tcPr>
          <w:p w:rsidR="00D32CA0" w:rsidRPr="00017423" w:rsidRDefault="00D32CA0" w:rsidP="003A02AC">
            <w:pPr>
              <w:rPr>
                <w:rFonts w:cs="Arial"/>
                <w:sz w:val="22"/>
                <w:szCs w:val="22"/>
              </w:rPr>
            </w:pPr>
            <w:r w:rsidRPr="00017423">
              <w:rPr>
                <w:rFonts w:cs="Arial"/>
                <w:bCs/>
                <w:kern w:val="32"/>
                <w:sz w:val="22"/>
                <w:szCs w:val="22"/>
              </w:rPr>
              <w:t>Grupo Sertel</w:t>
            </w:r>
          </w:p>
        </w:tc>
        <w:tc>
          <w:tcPr>
            <w:tcW w:w="2042" w:type="dxa"/>
            <w:tcBorders>
              <w:top w:val="nil"/>
              <w:left w:val="nil"/>
              <w:bottom w:val="single" w:sz="8" w:space="0" w:color="auto"/>
              <w:right w:val="single" w:sz="8" w:space="0" w:color="auto"/>
            </w:tcBorders>
            <w:shd w:val="clear" w:color="auto" w:fill="auto"/>
            <w:noWrap/>
            <w:vAlign w:val="bottom"/>
            <w:hideMark/>
          </w:tcPr>
          <w:p w:rsidR="00D32CA0" w:rsidRPr="00017423" w:rsidRDefault="00D32CA0" w:rsidP="003A02AC">
            <w:pPr>
              <w:jc w:val="center"/>
              <w:rPr>
                <w:rFonts w:cs="Arial"/>
                <w:sz w:val="22"/>
                <w:szCs w:val="22"/>
              </w:rPr>
            </w:pPr>
            <w:r w:rsidRPr="00017423">
              <w:rPr>
                <w:rFonts w:cs="Arial"/>
                <w:bCs/>
                <w:kern w:val="32"/>
                <w:sz w:val="22"/>
                <w:szCs w:val="22"/>
              </w:rPr>
              <w:t>60</w:t>
            </w:r>
          </w:p>
        </w:tc>
      </w:tr>
      <w:tr w:rsidR="00D32CA0" w:rsidRPr="00017423" w:rsidTr="003A02AC">
        <w:trPr>
          <w:trHeight w:val="315"/>
        </w:trPr>
        <w:tc>
          <w:tcPr>
            <w:tcW w:w="2562" w:type="dxa"/>
            <w:tcBorders>
              <w:top w:val="nil"/>
              <w:left w:val="single" w:sz="8" w:space="0" w:color="auto"/>
              <w:bottom w:val="single" w:sz="8" w:space="0" w:color="auto"/>
              <w:right w:val="single" w:sz="8" w:space="0" w:color="auto"/>
            </w:tcBorders>
            <w:shd w:val="clear" w:color="auto" w:fill="auto"/>
            <w:noWrap/>
            <w:vAlign w:val="bottom"/>
            <w:hideMark/>
          </w:tcPr>
          <w:p w:rsidR="00D32CA0" w:rsidRPr="00017423" w:rsidRDefault="00D32CA0" w:rsidP="003A02AC">
            <w:pPr>
              <w:rPr>
                <w:rFonts w:cs="Arial"/>
                <w:sz w:val="22"/>
                <w:szCs w:val="22"/>
              </w:rPr>
            </w:pPr>
            <w:r w:rsidRPr="00017423">
              <w:rPr>
                <w:rFonts w:cs="Arial"/>
                <w:bCs/>
                <w:kern w:val="32"/>
                <w:sz w:val="22"/>
                <w:szCs w:val="22"/>
              </w:rPr>
              <w:t>Grupo Fucoda</w:t>
            </w:r>
          </w:p>
        </w:tc>
        <w:tc>
          <w:tcPr>
            <w:tcW w:w="2042" w:type="dxa"/>
            <w:tcBorders>
              <w:top w:val="nil"/>
              <w:left w:val="nil"/>
              <w:bottom w:val="single" w:sz="8" w:space="0" w:color="auto"/>
              <w:right w:val="single" w:sz="8" w:space="0" w:color="auto"/>
            </w:tcBorders>
            <w:shd w:val="clear" w:color="auto" w:fill="auto"/>
            <w:noWrap/>
            <w:vAlign w:val="bottom"/>
            <w:hideMark/>
          </w:tcPr>
          <w:p w:rsidR="00D32CA0" w:rsidRPr="00017423" w:rsidRDefault="00D32CA0" w:rsidP="003A02AC">
            <w:pPr>
              <w:jc w:val="center"/>
              <w:rPr>
                <w:rFonts w:cs="Arial"/>
                <w:sz w:val="22"/>
                <w:szCs w:val="22"/>
              </w:rPr>
            </w:pPr>
            <w:r w:rsidRPr="00017423">
              <w:rPr>
                <w:rFonts w:cs="Arial"/>
                <w:bCs/>
                <w:kern w:val="32"/>
                <w:sz w:val="22"/>
                <w:szCs w:val="22"/>
              </w:rPr>
              <w:t>35</w:t>
            </w:r>
          </w:p>
        </w:tc>
      </w:tr>
    </w:tbl>
    <w:p w:rsidR="00D32CA0" w:rsidRPr="00017423" w:rsidRDefault="00D32CA0" w:rsidP="00D32CA0">
      <w:pPr>
        <w:tabs>
          <w:tab w:val="left" w:pos="720"/>
        </w:tabs>
        <w:ind w:left="360"/>
        <w:rPr>
          <w:rFonts w:cs="Arial"/>
          <w:bCs/>
          <w:kern w:val="32"/>
          <w:szCs w:val="24"/>
        </w:rPr>
      </w:pPr>
    </w:p>
    <w:p w:rsidR="00D32CA0" w:rsidRPr="00017423" w:rsidRDefault="00D32CA0" w:rsidP="00D32CA0">
      <w:pPr>
        <w:tabs>
          <w:tab w:val="left" w:pos="720"/>
        </w:tabs>
        <w:jc w:val="both"/>
        <w:rPr>
          <w:rFonts w:cs="Arial"/>
          <w:bCs/>
          <w:kern w:val="32"/>
          <w:szCs w:val="24"/>
        </w:rPr>
      </w:pPr>
      <w:r w:rsidRPr="00017423">
        <w:rPr>
          <w:rFonts w:cs="Arial"/>
          <w:bCs/>
          <w:kern w:val="32"/>
          <w:szCs w:val="24"/>
        </w:rPr>
        <w:t xml:space="preserve">Para el 2015 se plantea una creación de empleo para </w:t>
      </w:r>
      <w:r>
        <w:rPr>
          <w:rFonts w:cs="Arial"/>
          <w:bCs/>
          <w:kern w:val="32"/>
          <w:szCs w:val="24"/>
        </w:rPr>
        <w:t xml:space="preserve">personas con discapacidad </w:t>
      </w:r>
      <w:r w:rsidRPr="00EE4566">
        <w:rPr>
          <w:rFonts w:cs="Arial"/>
          <w:bCs/>
          <w:kern w:val="32"/>
          <w:szCs w:val="24"/>
        </w:rPr>
        <w:t xml:space="preserve">de </w:t>
      </w:r>
      <w:r w:rsidR="00275BCF">
        <w:rPr>
          <w:rFonts w:cs="Arial"/>
          <w:bCs/>
          <w:kern w:val="32"/>
          <w:szCs w:val="24"/>
        </w:rPr>
        <w:t>240</w:t>
      </w:r>
      <w:r w:rsidRPr="00EE4566">
        <w:rPr>
          <w:rFonts w:cs="Arial"/>
          <w:bCs/>
          <w:kern w:val="32"/>
          <w:szCs w:val="24"/>
        </w:rPr>
        <w:t xml:space="preserve"> trabajadores</w:t>
      </w:r>
      <w:r>
        <w:rPr>
          <w:rFonts w:cs="Arial"/>
          <w:bCs/>
          <w:kern w:val="32"/>
          <w:szCs w:val="24"/>
        </w:rPr>
        <w:t xml:space="preserve">, </w:t>
      </w:r>
      <w:r w:rsidR="00275BCF">
        <w:rPr>
          <w:rFonts w:cs="Arial"/>
          <w:bCs/>
          <w:kern w:val="32"/>
          <w:szCs w:val="24"/>
        </w:rPr>
        <w:t xml:space="preserve">12 de ellos para afiliados, </w:t>
      </w:r>
      <w:r>
        <w:rPr>
          <w:rFonts w:cs="Arial"/>
          <w:bCs/>
          <w:kern w:val="32"/>
          <w:szCs w:val="24"/>
        </w:rPr>
        <w:t>y de 74</w:t>
      </w:r>
      <w:r w:rsidRPr="00017423">
        <w:rPr>
          <w:rFonts w:cs="Arial"/>
          <w:bCs/>
          <w:kern w:val="32"/>
          <w:szCs w:val="24"/>
        </w:rPr>
        <w:t xml:space="preserve"> para personas sin discapacidad. Se espera que el porcentaje de trabajadores c</w:t>
      </w:r>
      <w:r>
        <w:rPr>
          <w:rFonts w:cs="Arial"/>
          <w:bCs/>
          <w:kern w:val="32"/>
          <w:szCs w:val="24"/>
        </w:rPr>
        <w:t>on discapacidad alcance el 65,47</w:t>
      </w:r>
      <w:r w:rsidRPr="00017423">
        <w:rPr>
          <w:rFonts w:cs="Arial"/>
          <w:bCs/>
          <w:kern w:val="32"/>
          <w:szCs w:val="24"/>
        </w:rPr>
        <w:t>% a final de 2015.</w:t>
      </w:r>
    </w:p>
    <w:p w:rsidR="00D32CA0" w:rsidRPr="00017423" w:rsidRDefault="00D32CA0" w:rsidP="00D32CA0">
      <w:pPr>
        <w:tabs>
          <w:tab w:val="left" w:pos="720"/>
        </w:tabs>
        <w:ind w:left="360"/>
        <w:rPr>
          <w:rFonts w:cs="Arial"/>
          <w:bCs/>
          <w:kern w:val="32"/>
          <w:szCs w:val="24"/>
        </w:rPr>
      </w:pPr>
    </w:p>
    <w:p w:rsidR="00D32CA0" w:rsidRPr="00017423" w:rsidRDefault="00D32CA0" w:rsidP="00D32CA0">
      <w:pPr>
        <w:tabs>
          <w:tab w:val="left" w:pos="720"/>
        </w:tabs>
        <w:jc w:val="both"/>
        <w:rPr>
          <w:rFonts w:cs="Arial"/>
          <w:bCs/>
          <w:kern w:val="32"/>
          <w:szCs w:val="24"/>
        </w:rPr>
      </w:pPr>
      <w:r w:rsidRPr="00017423">
        <w:rPr>
          <w:rFonts w:cs="Arial"/>
          <w:bCs/>
          <w:kern w:val="32"/>
          <w:szCs w:val="24"/>
        </w:rPr>
        <w:t xml:space="preserve">A continuación se muestra una tabla con las principales variaciones en plantilla </w:t>
      </w:r>
      <w:r w:rsidR="002D6B1F">
        <w:rPr>
          <w:rFonts w:cs="Arial"/>
          <w:bCs/>
          <w:kern w:val="32"/>
          <w:szCs w:val="24"/>
        </w:rPr>
        <w:t>de personas con discapacidad</w:t>
      </w:r>
      <w:r w:rsidR="002D6B1F" w:rsidRPr="00017423">
        <w:rPr>
          <w:rFonts w:cs="Arial"/>
          <w:bCs/>
          <w:kern w:val="32"/>
          <w:szCs w:val="24"/>
        </w:rPr>
        <w:t xml:space="preserve"> </w:t>
      </w:r>
      <w:r w:rsidRPr="00017423">
        <w:rPr>
          <w:rFonts w:cs="Arial"/>
          <w:bCs/>
          <w:kern w:val="32"/>
          <w:szCs w:val="24"/>
        </w:rPr>
        <w:t>en 2015 respecto al estimado de 2014:</w:t>
      </w:r>
    </w:p>
    <w:p w:rsidR="00D32CA0" w:rsidRPr="000B4B5C" w:rsidRDefault="00D32CA0" w:rsidP="00D32CA0">
      <w:pPr>
        <w:tabs>
          <w:tab w:val="left" w:pos="720"/>
        </w:tabs>
        <w:ind w:left="360"/>
        <w:rPr>
          <w:rFonts w:cs="Arial"/>
          <w:bCs/>
          <w:kern w:val="32"/>
          <w:szCs w:val="24"/>
        </w:rPr>
      </w:pPr>
    </w:p>
    <w:tbl>
      <w:tblPr>
        <w:tblW w:w="4536" w:type="dxa"/>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2"/>
        <w:gridCol w:w="1944"/>
      </w:tblGrid>
      <w:tr w:rsidR="00D32CA0" w:rsidRPr="003609C2" w:rsidTr="003A02AC">
        <w:trPr>
          <w:trHeight w:val="605"/>
        </w:trPr>
        <w:tc>
          <w:tcPr>
            <w:tcW w:w="2592" w:type="dxa"/>
            <w:shd w:val="clear" w:color="auto" w:fill="auto"/>
            <w:noWrap/>
            <w:vAlign w:val="bottom"/>
            <w:hideMark/>
          </w:tcPr>
          <w:p w:rsidR="00D32CA0" w:rsidRPr="00BF7448" w:rsidRDefault="00D32CA0" w:rsidP="003A02AC">
            <w:pPr>
              <w:rPr>
                <w:rFonts w:cs="Arial"/>
                <w:b/>
                <w:bCs/>
                <w:color w:val="016FB8"/>
                <w:sz w:val="22"/>
                <w:szCs w:val="22"/>
              </w:rPr>
            </w:pPr>
            <w:r w:rsidRPr="00BF7448">
              <w:rPr>
                <w:rFonts w:cs="Arial"/>
                <w:b/>
                <w:bCs/>
                <w:color w:val="016FB8"/>
                <w:kern w:val="32"/>
                <w:sz w:val="22"/>
                <w:szCs w:val="22"/>
              </w:rPr>
              <w:lastRenderedPageBreak/>
              <w:t xml:space="preserve">     SOCIEDAD</w:t>
            </w:r>
          </w:p>
        </w:tc>
        <w:tc>
          <w:tcPr>
            <w:tcW w:w="1944" w:type="dxa"/>
            <w:shd w:val="clear" w:color="auto" w:fill="auto"/>
            <w:noWrap/>
            <w:vAlign w:val="bottom"/>
            <w:hideMark/>
          </w:tcPr>
          <w:p w:rsidR="00D32CA0" w:rsidRPr="00BF7448" w:rsidRDefault="00D32CA0" w:rsidP="003A02AC">
            <w:pPr>
              <w:rPr>
                <w:rFonts w:cs="Arial"/>
                <w:b/>
                <w:bCs/>
                <w:color w:val="016FB8"/>
                <w:sz w:val="22"/>
                <w:szCs w:val="22"/>
              </w:rPr>
            </w:pPr>
            <w:r w:rsidRPr="00BF7448">
              <w:rPr>
                <w:rFonts w:cs="Arial"/>
                <w:b/>
                <w:bCs/>
                <w:color w:val="016FB8"/>
                <w:kern w:val="32"/>
                <w:sz w:val="22"/>
                <w:szCs w:val="22"/>
              </w:rPr>
              <w:t>INCREMENTO / (DISMINUCIÓN)</w:t>
            </w:r>
          </w:p>
        </w:tc>
      </w:tr>
      <w:tr w:rsidR="00D32CA0" w:rsidRPr="003609C2" w:rsidTr="003A02AC">
        <w:trPr>
          <w:trHeight w:val="367"/>
        </w:trPr>
        <w:tc>
          <w:tcPr>
            <w:tcW w:w="2592" w:type="dxa"/>
            <w:shd w:val="clear" w:color="auto" w:fill="auto"/>
            <w:noWrap/>
            <w:vAlign w:val="bottom"/>
            <w:hideMark/>
          </w:tcPr>
          <w:p w:rsidR="00D32CA0" w:rsidRPr="00017423" w:rsidRDefault="00D32CA0" w:rsidP="003A02AC">
            <w:pPr>
              <w:rPr>
                <w:rFonts w:cs="Arial"/>
                <w:sz w:val="22"/>
                <w:szCs w:val="22"/>
              </w:rPr>
            </w:pPr>
            <w:r w:rsidRPr="00017423">
              <w:rPr>
                <w:rFonts w:cs="Arial"/>
                <w:sz w:val="22"/>
                <w:szCs w:val="22"/>
              </w:rPr>
              <w:t>FSI Zona Centro</w:t>
            </w:r>
          </w:p>
        </w:tc>
        <w:tc>
          <w:tcPr>
            <w:tcW w:w="1944" w:type="dxa"/>
            <w:shd w:val="clear" w:color="auto" w:fill="auto"/>
            <w:noWrap/>
            <w:vAlign w:val="bottom"/>
          </w:tcPr>
          <w:p w:rsidR="00D32CA0" w:rsidRPr="00017423" w:rsidRDefault="00D32CA0" w:rsidP="003A02AC">
            <w:pPr>
              <w:jc w:val="right"/>
              <w:rPr>
                <w:rFonts w:cs="Arial"/>
                <w:sz w:val="22"/>
                <w:szCs w:val="22"/>
              </w:rPr>
            </w:pPr>
            <w:r w:rsidRPr="00017423">
              <w:rPr>
                <w:rFonts w:cs="Arial"/>
                <w:sz w:val="22"/>
                <w:szCs w:val="22"/>
              </w:rPr>
              <w:t>111</w:t>
            </w:r>
          </w:p>
        </w:tc>
      </w:tr>
      <w:tr w:rsidR="00D32CA0" w:rsidRPr="003609C2" w:rsidTr="003A02AC">
        <w:trPr>
          <w:trHeight w:val="315"/>
        </w:trPr>
        <w:tc>
          <w:tcPr>
            <w:tcW w:w="2592" w:type="dxa"/>
            <w:shd w:val="clear" w:color="auto" w:fill="auto"/>
            <w:noWrap/>
            <w:vAlign w:val="bottom"/>
            <w:hideMark/>
          </w:tcPr>
          <w:p w:rsidR="00D32CA0" w:rsidRPr="00017423" w:rsidRDefault="00D32CA0" w:rsidP="003A02AC">
            <w:pPr>
              <w:rPr>
                <w:rFonts w:cs="Arial"/>
                <w:sz w:val="22"/>
                <w:szCs w:val="22"/>
              </w:rPr>
            </w:pPr>
            <w:r w:rsidRPr="00017423">
              <w:rPr>
                <w:rFonts w:cs="Arial"/>
                <w:sz w:val="22"/>
                <w:szCs w:val="22"/>
              </w:rPr>
              <w:t>MLV</w:t>
            </w:r>
          </w:p>
        </w:tc>
        <w:tc>
          <w:tcPr>
            <w:tcW w:w="1944" w:type="dxa"/>
            <w:shd w:val="clear" w:color="auto" w:fill="auto"/>
            <w:noWrap/>
            <w:vAlign w:val="bottom"/>
          </w:tcPr>
          <w:p w:rsidR="00D32CA0" w:rsidRPr="00017423" w:rsidRDefault="00D32CA0" w:rsidP="003A02AC">
            <w:pPr>
              <w:jc w:val="right"/>
              <w:rPr>
                <w:rFonts w:cs="Arial"/>
                <w:sz w:val="22"/>
                <w:szCs w:val="22"/>
              </w:rPr>
            </w:pPr>
            <w:r w:rsidRPr="00017423">
              <w:rPr>
                <w:rFonts w:cs="Arial"/>
                <w:sz w:val="22"/>
                <w:szCs w:val="22"/>
              </w:rPr>
              <w:t>42</w:t>
            </w:r>
          </w:p>
        </w:tc>
      </w:tr>
      <w:tr w:rsidR="00D32CA0" w:rsidRPr="003609C2" w:rsidTr="003A02AC">
        <w:trPr>
          <w:trHeight w:val="315"/>
        </w:trPr>
        <w:tc>
          <w:tcPr>
            <w:tcW w:w="2592" w:type="dxa"/>
            <w:shd w:val="clear" w:color="auto" w:fill="auto"/>
            <w:noWrap/>
            <w:vAlign w:val="bottom"/>
            <w:hideMark/>
          </w:tcPr>
          <w:p w:rsidR="00D32CA0" w:rsidRPr="00017423" w:rsidRDefault="00D32CA0" w:rsidP="003A02AC">
            <w:pPr>
              <w:rPr>
                <w:rFonts w:cs="Arial"/>
                <w:sz w:val="22"/>
                <w:szCs w:val="22"/>
              </w:rPr>
            </w:pPr>
            <w:r w:rsidRPr="00017423">
              <w:rPr>
                <w:rFonts w:cs="Arial"/>
                <w:sz w:val="22"/>
                <w:szCs w:val="22"/>
              </w:rPr>
              <w:t>Esteritex</w:t>
            </w:r>
          </w:p>
        </w:tc>
        <w:tc>
          <w:tcPr>
            <w:tcW w:w="1944" w:type="dxa"/>
            <w:shd w:val="clear" w:color="auto" w:fill="auto"/>
            <w:noWrap/>
            <w:vAlign w:val="bottom"/>
          </w:tcPr>
          <w:p w:rsidR="00D32CA0" w:rsidRPr="00017423" w:rsidRDefault="00D32CA0" w:rsidP="003A02AC">
            <w:pPr>
              <w:jc w:val="right"/>
              <w:rPr>
                <w:rFonts w:cs="Arial"/>
                <w:sz w:val="22"/>
                <w:szCs w:val="22"/>
              </w:rPr>
            </w:pPr>
            <w:r w:rsidRPr="00017423">
              <w:rPr>
                <w:rFonts w:cs="Arial"/>
                <w:sz w:val="22"/>
                <w:szCs w:val="22"/>
              </w:rPr>
              <w:t>18</w:t>
            </w:r>
          </w:p>
        </w:tc>
      </w:tr>
      <w:tr w:rsidR="00D32CA0" w:rsidRPr="003609C2" w:rsidTr="003A02AC">
        <w:trPr>
          <w:trHeight w:val="315"/>
        </w:trPr>
        <w:tc>
          <w:tcPr>
            <w:tcW w:w="2592" w:type="dxa"/>
            <w:shd w:val="clear" w:color="auto" w:fill="auto"/>
            <w:noWrap/>
            <w:vAlign w:val="bottom"/>
            <w:hideMark/>
          </w:tcPr>
          <w:p w:rsidR="00D32CA0" w:rsidRPr="00017423" w:rsidRDefault="00D32CA0" w:rsidP="003A02AC">
            <w:pPr>
              <w:rPr>
                <w:rFonts w:cs="Arial"/>
                <w:sz w:val="22"/>
                <w:szCs w:val="22"/>
              </w:rPr>
            </w:pPr>
            <w:r w:rsidRPr="00017423">
              <w:rPr>
                <w:rFonts w:cs="Arial"/>
                <w:sz w:val="22"/>
                <w:szCs w:val="22"/>
              </w:rPr>
              <w:t>FSI</w:t>
            </w:r>
          </w:p>
        </w:tc>
        <w:tc>
          <w:tcPr>
            <w:tcW w:w="1944" w:type="dxa"/>
            <w:shd w:val="clear" w:color="auto" w:fill="auto"/>
            <w:noWrap/>
            <w:vAlign w:val="bottom"/>
          </w:tcPr>
          <w:p w:rsidR="00D32CA0" w:rsidRPr="00017423" w:rsidRDefault="00D32CA0" w:rsidP="003A02AC">
            <w:pPr>
              <w:jc w:val="right"/>
              <w:rPr>
                <w:rFonts w:cs="Arial"/>
                <w:sz w:val="22"/>
                <w:szCs w:val="22"/>
              </w:rPr>
            </w:pPr>
            <w:r w:rsidRPr="00017423">
              <w:rPr>
                <w:rFonts w:cs="Arial"/>
                <w:sz w:val="22"/>
                <w:szCs w:val="22"/>
              </w:rPr>
              <w:t>17</w:t>
            </w:r>
          </w:p>
        </w:tc>
      </w:tr>
      <w:tr w:rsidR="00D32CA0" w:rsidRPr="003609C2" w:rsidTr="003A02AC">
        <w:trPr>
          <w:trHeight w:val="315"/>
        </w:trPr>
        <w:tc>
          <w:tcPr>
            <w:tcW w:w="2592" w:type="dxa"/>
            <w:shd w:val="clear" w:color="auto" w:fill="auto"/>
            <w:noWrap/>
            <w:vAlign w:val="bottom"/>
            <w:hideMark/>
          </w:tcPr>
          <w:p w:rsidR="00D32CA0" w:rsidRPr="00017423" w:rsidRDefault="00D32CA0" w:rsidP="003A02AC">
            <w:pPr>
              <w:rPr>
                <w:rFonts w:cs="Arial"/>
                <w:sz w:val="22"/>
                <w:szCs w:val="22"/>
              </w:rPr>
            </w:pPr>
            <w:r w:rsidRPr="00017423">
              <w:rPr>
                <w:rFonts w:cs="Arial"/>
                <w:sz w:val="22"/>
                <w:szCs w:val="22"/>
              </w:rPr>
              <w:t>FSI Galicia</w:t>
            </w:r>
          </w:p>
        </w:tc>
        <w:tc>
          <w:tcPr>
            <w:tcW w:w="1944" w:type="dxa"/>
            <w:shd w:val="clear" w:color="auto" w:fill="auto"/>
            <w:noWrap/>
            <w:vAlign w:val="bottom"/>
          </w:tcPr>
          <w:p w:rsidR="00D32CA0" w:rsidRPr="00017423" w:rsidRDefault="00D32CA0" w:rsidP="003A02AC">
            <w:pPr>
              <w:jc w:val="right"/>
              <w:rPr>
                <w:rFonts w:cs="Arial"/>
                <w:sz w:val="22"/>
                <w:szCs w:val="22"/>
              </w:rPr>
            </w:pPr>
            <w:r w:rsidRPr="00017423">
              <w:rPr>
                <w:rFonts w:cs="Arial"/>
                <w:sz w:val="22"/>
                <w:szCs w:val="22"/>
              </w:rPr>
              <w:t>10</w:t>
            </w:r>
          </w:p>
        </w:tc>
      </w:tr>
    </w:tbl>
    <w:p w:rsidR="00D32CA0" w:rsidRDefault="00D32CA0" w:rsidP="00D32CA0">
      <w:pPr>
        <w:tabs>
          <w:tab w:val="left" w:pos="720"/>
        </w:tabs>
        <w:ind w:left="360"/>
        <w:rPr>
          <w:rFonts w:cs="Arial"/>
          <w:bCs/>
          <w:kern w:val="32"/>
          <w:szCs w:val="24"/>
        </w:rPr>
      </w:pPr>
    </w:p>
    <w:p w:rsidR="003609C2" w:rsidRPr="000B4B5C" w:rsidRDefault="003609C2" w:rsidP="00452E35">
      <w:pPr>
        <w:tabs>
          <w:tab w:val="left" w:pos="720"/>
        </w:tabs>
        <w:ind w:left="360"/>
        <w:rPr>
          <w:rFonts w:cs="Arial"/>
          <w:bCs/>
          <w:kern w:val="32"/>
          <w:szCs w:val="24"/>
        </w:rPr>
      </w:pPr>
    </w:p>
    <w:p w:rsidR="00452E35" w:rsidRPr="00BF7448" w:rsidRDefault="00452E35" w:rsidP="00452E35">
      <w:pPr>
        <w:tabs>
          <w:tab w:val="left" w:pos="720"/>
        </w:tabs>
        <w:rPr>
          <w:rFonts w:cs="Arial"/>
          <w:bCs/>
          <w:color w:val="016FB8"/>
          <w:kern w:val="32"/>
          <w:szCs w:val="24"/>
          <w:u w:val="single"/>
        </w:rPr>
      </w:pPr>
      <w:r w:rsidRPr="00BF7448">
        <w:rPr>
          <w:rFonts w:cs="Arial"/>
          <w:bCs/>
          <w:color w:val="016FB8"/>
          <w:kern w:val="32"/>
          <w:szCs w:val="24"/>
          <w:u w:val="single"/>
        </w:rPr>
        <w:t>b) Sociedades participadas</w:t>
      </w:r>
    </w:p>
    <w:p w:rsidR="00452E35" w:rsidRPr="003D54DD" w:rsidRDefault="00452E35" w:rsidP="00452E35">
      <w:pPr>
        <w:tabs>
          <w:tab w:val="left" w:pos="720"/>
        </w:tabs>
        <w:rPr>
          <w:rFonts w:cs="Arial"/>
          <w:szCs w:val="24"/>
        </w:rPr>
      </w:pPr>
    </w:p>
    <w:p w:rsidR="00452E35" w:rsidRPr="003D54DD" w:rsidRDefault="00452E35" w:rsidP="003609C2">
      <w:pPr>
        <w:tabs>
          <w:tab w:val="left" w:pos="720"/>
        </w:tabs>
        <w:jc w:val="both"/>
        <w:rPr>
          <w:rFonts w:cs="Arial"/>
          <w:szCs w:val="24"/>
        </w:rPr>
      </w:pPr>
      <w:r w:rsidRPr="003D54DD">
        <w:rPr>
          <w:rFonts w:cs="Arial"/>
          <w:szCs w:val="24"/>
        </w:rPr>
        <w:t>La evolución prevista en plantilla con discapacidad a final de año en las empresas participadas es la siguiente:</w:t>
      </w:r>
    </w:p>
    <w:p w:rsidR="00452E35" w:rsidRPr="003D54DD" w:rsidRDefault="00452E35" w:rsidP="003609C2">
      <w:pPr>
        <w:tabs>
          <w:tab w:val="left" w:pos="720"/>
        </w:tabs>
        <w:ind w:left="360"/>
        <w:jc w:val="both"/>
        <w:rPr>
          <w:rFonts w:cs="Arial"/>
          <w:szCs w:val="24"/>
        </w:rPr>
      </w:pPr>
    </w:p>
    <w:p w:rsidR="00452E35" w:rsidRPr="002814BA" w:rsidRDefault="00452E35" w:rsidP="00865401">
      <w:pPr>
        <w:pStyle w:val="Textoindependiente"/>
        <w:numPr>
          <w:ilvl w:val="0"/>
          <w:numId w:val="8"/>
        </w:numPr>
        <w:autoSpaceDE w:val="0"/>
        <w:autoSpaceDN w:val="0"/>
        <w:adjustRightInd w:val="0"/>
        <w:jc w:val="both"/>
        <w:rPr>
          <w:rFonts w:cs="Arial"/>
          <w:b w:val="0"/>
          <w:sz w:val="24"/>
          <w:szCs w:val="24"/>
        </w:rPr>
      </w:pPr>
      <w:r w:rsidRPr="003D54DD">
        <w:rPr>
          <w:rFonts w:cs="Arial"/>
          <w:b w:val="0"/>
          <w:sz w:val="24"/>
          <w:szCs w:val="24"/>
        </w:rPr>
        <w:t>Para el ejercicio 201</w:t>
      </w:r>
      <w:r w:rsidR="00754A91" w:rsidRPr="003D54DD">
        <w:rPr>
          <w:rFonts w:cs="Arial"/>
          <w:b w:val="0"/>
          <w:sz w:val="24"/>
          <w:szCs w:val="24"/>
        </w:rPr>
        <w:t>4</w:t>
      </w:r>
      <w:r w:rsidRPr="003D54DD">
        <w:rPr>
          <w:rFonts w:cs="Arial"/>
          <w:b w:val="0"/>
          <w:sz w:val="24"/>
          <w:szCs w:val="24"/>
        </w:rPr>
        <w:t xml:space="preserve"> se estima una creación de empleo para personas con discapacidad </w:t>
      </w:r>
      <w:r w:rsidR="00527590" w:rsidRPr="003D54DD">
        <w:rPr>
          <w:rFonts w:cs="Arial"/>
          <w:b w:val="0"/>
          <w:sz w:val="24"/>
          <w:szCs w:val="24"/>
        </w:rPr>
        <w:t>(sin considerar</w:t>
      </w:r>
      <w:r w:rsidRPr="003D54DD">
        <w:rPr>
          <w:rFonts w:cs="Arial"/>
          <w:b w:val="0"/>
          <w:sz w:val="24"/>
          <w:szCs w:val="24"/>
        </w:rPr>
        <w:t xml:space="preserve"> el empleo de CEE Pilsa, CEE Seguronce y Total Gaming </w:t>
      </w:r>
      <w:r w:rsidR="00527590" w:rsidRPr="003D54DD">
        <w:rPr>
          <w:rFonts w:cs="Arial"/>
          <w:b w:val="0"/>
          <w:sz w:val="24"/>
          <w:szCs w:val="24"/>
        </w:rPr>
        <w:t>Systems)</w:t>
      </w:r>
      <w:r w:rsidRPr="003D54DD">
        <w:rPr>
          <w:rFonts w:cs="Arial"/>
          <w:b w:val="0"/>
          <w:sz w:val="24"/>
          <w:szCs w:val="24"/>
        </w:rPr>
        <w:t xml:space="preserve"> </w:t>
      </w:r>
      <w:r w:rsidR="00527590" w:rsidRPr="003D54DD">
        <w:rPr>
          <w:rFonts w:cs="Arial"/>
          <w:b w:val="0"/>
          <w:sz w:val="24"/>
          <w:szCs w:val="24"/>
        </w:rPr>
        <w:t>de</w:t>
      </w:r>
      <w:r w:rsidRPr="003D54DD">
        <w:rPr>
          <w:rFonts w:cs="Arial"/>
          <w:b w:val="0"/>
          <w:sz w:val="24"/>
          <w:szCs w:val="24"/>
        </w:rPr>
        <w:t xml:space="preserve"> </w:t>
      </w:r>
      <w:r w:rsidR="00527590" w:rsidRPr="003D54DD">
        <w:rPr>
          <w:rFonts w:cs="Arial"/>
          <w:b w:val="0"/>
          <w:sz w:val="24"/>
          <w:szCs w:val="24"/>
        </w:rPr>
        <w:t>231</w:t>
      </w:r>
      <w:r w:rsidRPr="003D54DD">
        <w:rPr>
          <w:rFonts w:cs="Arial"/>
          <w:b w:val="0"/>
          <w:sz w:val="24"/>
          <w:szCs w:val="24"/>
        </w:rPr>
        <w:t xml:space="preserve"> personas</w:t>
      </w:r>
      <w:r w:rsidR="00527590" w:rsidRPr="003D54DD">
        <w:rPr>
          <w:rFonts w:cs="Arial"/>
          <w:b w:val="0"/>
          <w:sz w:val="24"/>
          <w:szCs w:val="24"/>
        </w:rPr>
        <w:t>, destacando el Grupo Gureak (146 trabajadores</w:t>
      </w:r>
      <w:r w:rsidR="00527590" w:rsidRPr="002814BA">
        <w:rPr>
          <w:rFonts w:cs="Arial"/>
          <w:b w:val="0"/>
          <w:sz w:val="24"/>
          <w:szCs w:val="24"/>
        </w:rPr>
        <w:t>), Katea Legaia (51 trabajadores) y Tasubinsa (22 trabajadores)</w:t>
      </w:r>
      <w:r w:rsidRPr="002814BA">
        <w:rPr>
          <w:rFonts w:cs="Arial"/>
          <w:b w:val="0"/>
          <w:sz w:val="24"/>
          <w:szCs w:val="24"/>
        </w:rPr>
        <w:t>.</w:t>
      </w:r>
    </w:p>
    <w:p w:rsidR="00452E35" w:rsidRPr="002814BA" w:rsidRDefault="00452E35" w:rsidP="003609C2">
      <w:pPr>
        <w:ind w:left="360"/>
        <w:jc w:val="both"/>
        <w:rPr>
          <w:rFonts w:cs="Arial"/>
          <w:szCs w:val="24"/>
        </w:rPr>
      </w:pPr>
    </w:p>
    <w:p w:rsidR="00452E35" w:rsidRPr="002814BA" w:rsidRDefault="00452E35" w:rsidP="00865401">
      <w:pPr>
        <w:pStyle w:val="Textoindependiente"/>
        <w:numPr>
          <w:ilvl w:val="0"/>
          <w:numId w:val="8"/>
        </w:numPr>
        <w:autoSpaceDE w:val="0"/>
        <w:autoSpaceDN w:val="0"/>
        <w:adjustRightInd w:val="0"/>
        <w:jc w:val="both"/>
        <w:rPr>
          <w:rFonts w:cs="Arial"/>
          <w:b w:val="0"/>
          <w:strike/>
          <w:sz w:val="24"/>
          <w:szCs w:val="24"/>
        </w:rPr>
      </w:pPr>
      <w:r w:rsidRPr="002814BA">
        <w:rPr>
          <w:rFonts w:cs="Arial"/>
          <w:b w:val="0"/>
          <w:sz w:val="24"/>
          <w:szCs w:val="24"/>
        </w:rPr>
        <w:t>Durante el ejercicio 201</w:t>
      </w:r>
      <w:r w:rsidR="00527590" w:rsidRPr="002814BA">
        <w:rPr>
          <w:rFonts w:cs="Arial"/>
          <w:b w:val="0"/>
          <w:sz w:val="24"/>
          <w:szCs w:val="24"/>
        </w:rPr>
        <w:t>5</w:t>
      </w:r>
      <w:r w:rsidRPr="002814BA">
        <w:rPr>
          <w:rFonts w:cs="Arial"/>
          <w:b w:val="0"/>
          <w:sz w:val="24"/>
          <w:szCs w:val="24"/>
        </w:rPr>
        <w:t xml:space="preserve"> se prevé una creación de empleo para personas con discapacidad de </w:t>
      </w:r>
      <w:r w:rsidR="00527590" w:rsidRPr="002814BA">
        <w:rPr>
          <w:rFonts w:cs="Arial"/>
          <w:b w:val="0"/>
          <w:sz w:val="24"/>
          <w:szCs w:val="24"/>
        </w:rPr>
        <w:t>150</w:t>
      </w:r>
      <w:r w:rsidRPr="002814BA">
        <w:rPr>
          <w:rFonts w:cs="Arial"/>
          <w:b w:val="0"/>
          <w:sz w:val="24"/>
          <w:szCs w:val="24"/>
        </w:rPr>
        <w:t xml:space="preserve"> trabajadores</w:t>
      </w:r>
      <w:r w:rsidR="00527590" w:rsidRPr="002814BA">
        <w:rPr>
          <w:rFonts w:cs="Arial"/>
          <w:b w:val="0"/>
          <w:sz w:val="24"/>
          <w:szCs w:val="24"/>
        </w:rPr>
        <w:t xml:space="preserve"> (</w:t>
      </w:r>
      <w:r w:rsidR="00563432" w:rsidRPr="002814BA">
        <w:rPr>
          <w:rFonts w:cs="Arial"/>
          <w:b w:val="0"/>
          <w:sz w:val="24"/>
          <w:szCs w:val="24"/>
        </w:rPr>
        <w:t>s</w:t>
      </w:r>
      <w:r w:rsidRPr="002814BA">
        <w:rPr>
          <w:rFonts w:cs="Arial"/>
          <w:b w:val="0"/>
          <w:sz w:val="24"/>
          <w:szCs w:val="24"/>
        </w:rPr>
        <w:t>in incluir el empleo de CEE Pilsa, CEE Seguronce y Total Gaming Systems</w:t>
      </w:r>
      <w:r w:rsidR="00527590" w:rsidRPr="002814BA">
        <w:rPr>
          <w:rFonts w:cs="Arial"/>
          <w:b w:val="0"/>
          <w:sz w:val="24"/>
          <w:szCs w:val="24"/>
        </w:rPr>
        <w:t>)</w:t>
      </w:r>
      <w:r w:rsidRPr="002814BA">
        <w:rPr>
          <w:rFonts w:cs="Arial"/>
          <w:b w:val="0"/>
          <w:sz w:val="24"/>
          <w:szCs w:val="24"/>
        </w:rPr>
        <w:t xml:space="preserve">. Este incremento </w:t>
      </w:r>
      <w:r w:rsidR="00527590" w:rsidRPr="002814BA">
        <w:rPr>
          <w:rFonts w:cs="Arial"/>
          <w:b w:val="0"/>
          <w:sz w:val="24"/>
          <w:szCs w:val="24"/>
        </w:rPr>
        <w:t>se</w:t>
      </w:r>
      <w:r w:rsidRPr="002814BA">
        <w:rPr>
          <w:rFonts w:cs="Arial"/>
          <w:b w:val="0"/>
          <w:sz w:val="24"/>
          <w:szCs w:val="24"/>
        </w:rPr>
        <w:t xml:space="preserve"> explica fundamentalmente </w:t>
      </w:r>
      <w:r w:rsidR="00527590" w:rsidRPr="002814BA">
        <w:rPr>
          <w:rFonts w:cs="Arial"/>
          <w:b w:val="0"/>
          <w:sz w:val="24"/>
          <w:szCs w:val="24"/>
        </w:rPr>
        <w:t xml:space="preserve">por el </w:t>
      </w:r>
      <w:r w:rsidRPr="002814BA">
        <w:rPr>
          <w:rFonts w:cs="Arial"/>
          <w:b w:val="0"/>
          <w:sz w:val="24"/>
          <w:szCs w:val="24"/>
        </w:rPr>
        <w:t>Grupo Gureak.</w:t>
      </w:r>
      <w:r w:rsidR="00527590" w:rsidRPr="002814BA">
        <w:rPr>
          <w:rFonts w:cs="Arial"/>
          <w:b w:val="0"/>
          <w:sz w:val="24"/>
          <w:szCs w:val="24"/>
        </w:rPr>
        <w:t xml:space="preserve"> Se ha tomado como hipótesis que se desarrollará alguna acción para mantener al Grupo vinculado con Siro Venta de Baños, </w:t>
      </w:r>
      <w:r w:rsidR="00563432" w:rsidRPr="002814BA">
        <w:rPr>
          <w:rFonts w:cs="Arial"/>
          <w:b w:val="0"/>
          <w:sz w:val="24"/>
          <w:szCs w:val="24"/>
        </w:rPr>
        <w:t xml:space="preserve">cuyo empleo para personas con discapacidad en 2015 se estima </w:t>
      </w:r>
      <w:r w:rsidR="00527590" w:rsidRPr="002814BA">
        <w:rPr>
          <w:rFonts w:cs="Arial"/>
          <w:b w:val="0"/>
          <w:sz w:val="24"/>
          <w:szCs w:val="24"/>
        </w:rPr>
        <w:t>en 321</w:t>
      </w:r>
      <w:r w:rsidR="00563432" w:rsidRPr="002814BA">
        <w:rPr>
          <w:rFonts w:cs="Arial"/>
          <w:b w:val="0"/>
          <w:sz w:val="24"/>
          <w:szCs w:val="24"/>
        </w:rPr>
        <w:t xml:space="preserve"> trabajadores</w:t>
      </w:r>
      <w:r w:rsidR="00527590" w:rsidRPr="002814BA">
        <w:rPr>
          <w:rFonts w:cs="Arial"/>
          <w:b w:val="0"/>
          <w:sz w:val="24"/>
          <w:szCs w:val="24"/>
        </w:rPr>
        <w:t>.</w:t>
      </w:r>
    </w:p>
    <w:p w:rsidR="007B0AF7" w:rsidRDefault="00452E35" w:rsidP="00AC64B9">
      <w:pPr>
        <w:jc w:val="center"/>
        <w:rPr>
          <w:rFonts w:cs="Arial"/>
        </w:rPr>
      </w:pPr>
      <w:r w:rsidRPr="000B4B5C">
        <w:rPr>
          <w:rFonts w:cs="Arial"/>
          <w:szCs w:val="24"/>
        </w:rPr>
        <w:t>______________________</w:t>
      </w:r>
    </w:p>
    <w:sectPr w:rsidR="007B0AF7" w:rsidSect="00351F2E">
      <w:headerReference w:type="default" r:id="rId9"/>
      <w:footerReference w:type="even" r:id="rId10"/>
      <w:footerReference w:type="default" r:id="rId11"/>
      <w:headerReference w:type="first" r:id="rId12"/>
      <w:pgSz w:w="11906" w:h="16838" w:code="9"/>
      <w:pgMar w:top="2282" w:right="1418" w:bottom="1701"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89D" w:rsidRDefault="006D589D">
      <w:r>
        <w:separator/>
      </w:r>
    </w:p>
  </w:endnote>
  <w:endnote w:type="continuationSeparator" w:id="0">
    <w:p w:rsidR="006D589D" w:rsidRDefault="006D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RotisSans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BVA Office Book">
    <w:altName w:val="BBVA Office Book"/>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8D3" w:rsidRDefault="004F64D4">
    <w:pPr>
      <w:pStyle w:val="Piedepgina"/>
      <w:framePr w:wrap="around" w:vAnchor="text" w:hAnchor="margin" w:xAlign="center" w:y="1"/>
      <w:rPr>
        <w:rStyle w:val="Nmerodepgina"/>
      </w:rPr>
    </w:pPr>
    <w:r>
      <w:rPr>
        <w:rStyle w:val="Nmerodepgina"/>
      </w:rPr>
      <w:fldChar w:fldCharType="begin"/>
    </w:r>
    <w:r w:rsidR="00AA48D3">
      <w:rPr>
        <w:rStyle w:val="Nmerodepgina"/>
      </w:rPr>
      <w:instrText xml:space="preserve">PAGE  </w:instrText>
    </w:r>
    <w:r>
      <w:rPr>
        <w:rStyle w:val="Nmerodepgina"/>
      </w:rPr>
      <w:fldChar w:fldCharType="end"/>
    </w:r>
  </w:p>
  <w:p w:rsidR="00AA48D3" w:rsidRDefault="00AA48D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8D3" w:rsidRPr="00C714DC" w:rsidRDefault="00AA48D3" w:rsidP="0017535F">
    <w:pPr>
      <w:pStyle w:val="Piedepgina"/>
      <w:ind w:right="-465"/>
      <w:jc w:val="right"/>
      <w:rPr>
        <w:sz w:val="20"/>
      </w:rPr>
    </w:pPr>
    <w:r w:rsidRPr="005B7797">
      <w:rPr>
        <w:rStyle w:val="Nmerodepgina"/>
        <w:color w:val="FFFFFF"/>
        <w:szCs w:val="24"/>
      </w:rPr>
      <w:t>P</w:t>
    </w:r>
    <w:r>
      <w:rPr>
        <w:rStyle w:val="Nmerodepgina"/>
        <w:color w:val="FFFFFF"/>
        <w:szCs w:val="24"/>
      </w:rPr>
      <w:t>LAN DE ACTUACIÓN 2015</w:t>
    </w:r>
    <w:r w:rsidRPr="005B7797">
      <w:rPr>
        <w:rStyle w:val="Nmerodepgina"/>
        <w:color w:val="FFFFFF"/>
        <w:szCs w:val="24"/>
      </w:rPr>
      <w:t xml:space="preserve"> GRUPO FUNDOSA</w:t>
    </w:r>
    <w:r>
      <w:rPr>
        <w:rStyle w:val="Nmerodepgina"/>
        <w:sz w:val="20"/>
      </w:rPr>
      <w:t xml:space="preserve">                     </w:t>
    </w:r>
    <w:r w:rsidRPr="002554ED">
      <w:rPr>
        <w:snapToGrid w:val="0"/>
        <w:sz w:val="20"/>
      </w:rPr>
      <w:t xml:space="preserve"> </w:t>
    </w:r>
    <w:r w:rsidR="004F64D4" w:rsidRPr="002554ED">
      <w:rPr>
        <w:snapToGrid w:val="0"/>
        <w:sz w:val="20"/>
      </w:rPr>
      <w:fldChar w:fldCharType="begin"/>
    </w:r>
    <w:r w:rsidRPr="002554ED">
      <w:rPr>
        <w:snapToGrid w:val="0"/>
        <w:sz w:val="20"/>
      </w:rPr>
      <w:instrText xml:space="preserve"> PAGE </w:instrText>
    </w:r>
    <w:r w:rsidR="004F64D4" w:rsidRPr="002554ED">
      <w:rPr>
        <w:snapToGrid w:val="0"/>
        <w:sz w:val="20"/>
      </w:rPr>
      <w:fldChar w:fldCharType="separate"/>
    </w:r>
    <w:r w:rsidR="005D4012">
      <w:rPr>
        <w:noProof/>
        <w:snapToGrid w:val="0"/>
        <w:sz w:val="20"/>
      </w:rPr>
      <w:t>11</w:t>
    </w:r>
    <w:r w:rsidR="004F64D4" w:rsidRPr="002554ED">
      <w:rPr>
        <w:snapToGrid w:val="0"/>
        <w:sz w:val="20"/>
      </w:rPr>
      <w:fldChar w:fldCharType="end"/>
    </w:r>
    <w:r>
      <w:rPr>
        <w:snapToGrid w:val="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89D" w:rsidRDefault="006D589D">
      <w:r>
        <w:separator/>
      </w:r>
    </w:p>
  </w:footnote>
  <w:footnote w:type="continuationSeparator" w:id="0">
    <w:p w:rsidR="006D589D" w:rsidRDefault="006D5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8D3" w:rsidRPr="003A02AC" w:rsidRDefault="005D4012" w:rsidP="003A02AC">
    <w:pPr>
      <w:pStyle w:val="Encabezado"/>
    </w:pPr>
    <w:r>
      <w:rPr>
        <w:color w:val="016FB8"/>
      </w:rPr>
      <w:fldChar w:fldCharType="begin"/>
    </w:r>
    <w:r>
      <w:rPr>
        <w:color w:val="016FB8"/>
      </w:rPr>
      <w:instrText xml:space="preserve"> </w:instrText>
    </w:r>
    <w:r>
      <w:rPr>
        <w:color w:val="016FB8"/>
      </w:rPr>
      <w:instrText>INCLUDEPICTURE  "http://www.i</w:instrText>
    </w:r>
    <w:r>
      <w:rPr>
        <w:color w:val="016FB8"/>
      </w:rPr>
      <w:instrText>lunion.com/sites/all/themes/newco/logo.png" \* MERGEFORMATINET</w:instrText>
    </w:r>
    <w:r>
      <w:rPr>
        <w:color w:val="016FB8"/>
      </w:rPr>
      <w:instrText xml:space="preserve"> </w:instrText>
    </w:r>
    <w:r>
      <w:rPr>
        <w:color w:val="016FB8"/>
      </w:rPr>
      <w:fldChar w:fldCharType="separate"/>
    </w:r>
    <w:r>
      <w:rPr>
        <w:color w:val="016FB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lunion. Ir a la portada" href="http://www.ilunion.com/es" title="&quot;Ilunion. Ir a la portada&quot;" style="width:148.4pt;height:39.5pt" o:button="t">
          <v:imagedata r:id="rId1" r:href="rId2"/>
        </v:shape>
      </w:pict>
    </w:r>
    <w:r>
      <w:rPr>
        <w:color w:val="016FB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8D3" w:rsidRPr="00AA48D3" w:rsidRDefault="005D4012" w:rsidP="00AA48D3">
    <w:pPr>
      <w:pStyle w:val="Encabezado"/>
    </w:pPr>
    <w:r>
      <w:rPr>
        <w:color w:val="016FB8"/>
      </w:rPr>
      <w:fldChar w:fldCharType="begin"/>
    </w:r>
    <w:r>
      <w:rPr>
        <w:color w:val="016FB8"/>
      </w:rPr>
      <w:instrText xml:space="preserve"> </w:instrText>
    </w:r>
    <w:r>
      <w:rPr>
        <w:color w:val="016FB8"/>
      </w:rPr>
      <w:instrText>INCLUDEPICTURE  "http://www.ilunion.com/sites/all/themes/newco/logo.png" \* MERGEFORMATINET</w:instrText>
    </w:r>
    <w:r>
      <w:rPr>
        <w:color w:val="016FB8"/>
      </w:rPr>
      <w:instrText xml:space="preserve"> </w:instrText>
    </w:r>
    <w:r>
      <w:rPr>
        <w:color w:val="016FB8"/>
      </w:rPr>
      <w:fldChar w:fldCharType="separate"/>
    </w:r>
    <w:r>
      <w:rPr>
        <w:color w:val="016FB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lunion. Ir a la portada" href="http://www.ilunion.com/es" title="&quot;Ilunion. Ir a la portada&quot;" style="width:148.4pt;height:39.5pt" o:button="t">
          <v:imagedata r:id="rId2" r:href="rId1"/>
        </v:shape>
      </w:pict>
    </w:r>
    <w:r>
      <w:rPr>
        <w:color w:val="016FB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A2F46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A8D7298"/>
    <w:multiLevelType w:val="hybridMultilevel"/>
    <w:tmpl w:val="C9D6C560"/>
    <w:lvl w:ilvl="0" w:tplc="7206C670">
      <w:start w:val="1"/>
      <w:numFmt w:val="bullet"/>
      <w:lvlText w:val=""/>
      <w:lvlJc w:val="left"/>
      <w:pPr>
        <w:tabs>
          <w:tab w:val="num" w:pos="720"/>
        </w:tabs>
        <w:ind w:left="720" w:hanging="360"/>
      </w:pPr>
      <w:rPr>
        <w:rFonts w:ascii="Symbol" w:hAnsi="Symbol" w:hint="default"/>
        <w:color w:val="016FB8"/>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F5F5551"/>
    <w:multiLevelType w:val="hybridMultilevel"/>
    <w:tmpl w:val="63E6F7F4"/>
    <w:lvl w:ilvl="0" w:tplc="EA04412E">
      <w:start w:val="1"/>
      <w:numFmt w:val="bullet"/>
      <w:lvlText w:val=""/>
      <w:lvlJc w:val="left"/>
      <w:pPr>
        <w:tabs>
          <w:tab w:val="num" w:pos="720"/>
        </w:tabs>
        <w:ind w:left="720" w:hanging="360"/>
      </w:pPr>
      <w:rPr>
        <w:rFonts w:ascii="Symbol" w:hAnsi="Symbol" w:hint="default"/>
        <w:color w:val="016FB8"/>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B95EB3"/>
    <w:multiLevelType w:val="hybridMultilevel"/>
    <w:tmpl w:val="D1067354"/>
    <w:lvl w:ilvl="0" w:tplc="C36EF2AE">
      <w:start w:val="1"/>
      <w:numFmt w:val="bullet"/>
      <w:lvlText w:val=""/>
      <w:lvlJc w:val="left"/>
      <w:pPr>
        <w:ind w:left="720" w:hanging="360"/>
      </w:pPr>
      <w:rPr>
        <w:rFonts w:ascii="Symbol" w:hAnsi="Symbol" w:hint="default"/>
        <w:color w:val="016FB8"/>
      </w:rPr>
    </w:lvl>
    <w:lvl w:ilvl="1" w:tplc="4DE84910">
      <w:start w:val="1"/>
      <w:numFmt w:val="bullet"/>
      <w:lvlText w:val=""/>
      <w:lvlJc w:val="left"/>
      <w:pPr>
        <w:ind w:left="1440" w:hanging="360"/>
      </w:pPr>
      <w:rPr>
        <w:rFonts w:ascii="Symbol" w:hAnsi="Symbol" w:hint="default"/>
        <w:color w:val="005C54"/>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AB24B88"/>
    <w:multiLevelType w:val="hybridMultilevel"/>
    <w:tmpl w:val="373A1BF0"/>
    <w:lvl w:ilvl="0" w:tplc="301040C0">
      <w:start w:val="1"/>
      <w:numFmt w:val="bullet"/>
      <w:lvlText w:val=""/>
      <w:lvlJc w:val="left"/>
      <w:pPr>
        <w:tabs>
          <w:tab w:val="num" w:pos="720"/>
        </w:tabs>
        <w:ind w:left="720" w:hanging="360"/>
      </w:pPr>
      <w:rPr>
        <w:rFonts w:ascii="Symbol" w:hAnsi="Symbol" w:hint="default"/>
        <w:color w:val="016FB8"/>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F0B228F"/>
    <w:multiLevelType w:val="hybridMultilevel"/>
    <w:tmpl w:val="B21C7018"/>
    <w:lvl w:ilvl="0" w:tplc="B956A9EA">
      <w:start w:val="1"/>
      <w:numFmt w:val="bullet"/>
      <w:lvlText w:val=""/>
      <w:lvlJc w:val="left"/>
      <w:pPr>
        <w:tabs>
          <w:tab w:val="num" w:pos="360"/>
        </w:tabs>
        <w:ind w:left="360" w:hanging="360"/>
      </w:pPr>
      <w:rPr>
        <w:rFonts w:ascii="Wingdings" w:hAnsi="Wingdings" w:hint="default"/>
        <w:color w:val="016FB8"/>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23687F08"/>
    <w:multiLevelType w:val="hybridMultilevel"/>
    <w:tmpl w:val="39F837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55C6509"/>
    <w:multiLevelType w:val="hybridMultilevel"/>
    <w:tmpl w:val="B9EC3302"/>
    <w:lvl w:ilvl="0" w:tplc="5E820206">
      <w:start w:val="1"/>
      <w:numFmt w:val="bullet"/>
      <w:lvlText w:val=""/>
      <w:lvlJc w:val="left"/>
      <w:pPr>
        <w:tabs>
          <w:tab w:val="num" w:pos="360"/>
        </w:tabs>
        <w:ind w:left="360" w:hanging="360"/>
      </w:pPr>
      <w:rPr>
        <w:rFonts w:ascii="Wingdings" w:hAnsi="Wingdings" w:hint="default"/>
        <w:color w:val="016FB8"/>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2A5A75B6"/>
    <w:multiLevelType w:val="hybridMultilevel"/>
    <w:tmpl w:val="40C2A452"/>
    <w:lvl w:ilvl="0" w:tplc="56788AFC">
      <w:start w:val="1"/>
      <w:numFmt w:val="bullet"/>
      <w:lvlText w:val=""/>
      <w:lvlJc w:val="left"/>
      <w:pPr>
        <w:tabs>
          <w:tab w:val="num" w:pos="360"/>
        </w:tabs>
        <w:ind w:left="360" w:hanging="360"/>
      </w:pPr>
      <w:rPr>
        <w:rFonts w:ascii="Wingdings" w:hAnsi="Wingdings" w:hint="default"/>
        <w:color w:val="016FB8"/>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2BE3591B"/>
    <w:multiLevelType w:val="hybridMultilevel"/>
    <w:tmpl w:val="16B451C6"/>
    <w:lvl w:ilvl="0" w:tplc="9BDCEF1C">
      <w:start w:val="1"/>
      <w:numFmt w:val="bullet"/>
      <w:lvlText w:val=""/>
      <w:lvlJc w:val="left"/>
      <w:pPr>
        <w:tabs>
          <w:tab w:val="num" w:pos="360"/>
        </w:tabs>
        <w:ind w:left="360" w:hanging="360"/>
      </w:pPr>
      <w:rPr>
        <w:rFonts w:ascii="Wingdings" w:hAnsi="Wingdings" w:hint="default"/>
        <w:color w:val="016FB8"/>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2DBF4158"/>
    <w:multiLevelType w:val="hybridMultilevel"/>
    <w:tmpl w:val="AEBCFCB0"/>
    <w:lvl w:ilvl="0" w:tplc="06F2AC5A">
      <w:numFmt w:val="bullet"/>
      <w:lvlText w:val="-"/>
      <w:lvlJc w:val="left"/>
      <w:pPr>
        <w:ind w:left="1069" w:hanging="360"/>
      </w:pPr>
      <w:rPr>
        <w:rFonts w:ascii="Verdana" w:eastAsiaTheme="minorHAnsi" w:hAnsi="Verdana"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2DEC7AF8"/>
    <w:multiLevelType w:val="hybridMultilevel"/>
    <w:tmpl w:val="8612E1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2B574A7"/>
    <w:multiLevelType w:val="hybridMultilevel"/>
    <w:tmpl w:val="B0CC2B04"/>
    <w:lvl w:ilvl="0" w:tplc="8E2EF5DE">
      <w:start w:val="1"/>
      <w:numFmt w:val="bullet"/>
      <w:lvlText w:val="­"/>
      <w:lvlJc w:val="left"/>
      <w:pPr>
        <w:tabs>
          <w:tab w:val="num" w:pos="720"/>
        </w:tabs>
        <w:ind w:left="720" w:hanging="360"/>
      </w:pPr>
      <w:rPr>
        <w:rFonts w:ascii="Courier New" w:hAnsi="Courier New" w:hint="default"/>
        <w:color w:val="016FB8"/>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6732630"/>
    <w:multiLevelType w:val="hybridMultilevel"/>
    <w:tmpl w:val="16A88598"/>
    <w:lvl w:ilvl="0" w:tplc="7BACFB8C">
      <w:start w:val="1"/>
      <w:numFmt w:val="bullet"/>
      <w:lvlText w:val=""/>
      <w:lvlJc w:val="left"/>
      <w:pPr>
        <w:ind w:left="360" w:hanging="360"/>
      </w:pPr>
      <w:rPr>
        <w:rFonts w:ascii="Wingdings" w:hAnsi="Wingdings" w:hint="default"/>
        <w:color w:val="016FB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B740144"/>
    <w:multiLevelType w:val="hybridMultilevel"/>
    <w:tmpl w:val="B68A6B3E"/>
    <w:lvl w:ilvl="0" w:tplc="B284ECB8">
      <w:start w:val="1"/>
      <w:numFmt w:val="bullet"/>
      <w:lvlText w:val=""/>
      <w:lvlJc w:val="left"/>
      <w:pPr>
        <w:tabs>
          <w:tab w:val="num" w:pos="1425"/>
        </w:tabs>
        <w:ind w:left="1425" w:hanging="360"/>
      </w:pPr>
      <w:rPr>
        <w:rFonts w:ascii="Wingdings" w:hAnsi="Wingdings" w:hint="default"/>
        <w:color w:val="016FB8"/>
      </w:rPr>
    </w:lvl>
    <w:lvl w:ilvl="1" w:tplc="69AEA4A0">
      <w:start w:val="1"/>
      <w:numFmt w:val="bullet"/>
      <w:lvlText w:val="-"/>
      <w:lvlJc w:val="left"/>
      <w:pPr>
        <w:tabs>
          <w:tab w:val="num" w:pos="2145"/>
        </w:tabs>
        <w:ind w:left="2145" w:hanging="360"/>
      </w:pPr>
      <w:rPr>
        <w:rFonts w:ascii="Arial" w:eastAsia="Times New Roman" w:hAnsi="Arial" w:cs="Arial" w:hint="default"/>
      </w:rPr>
    </w:lvl>
    <w:lvl w:ilvl="2" w:tplc="0C0A0005">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5">
    <w:nsid w:val="3DF05D15"/>
    <w:multiLevelType w:val="multilevel"/>
    <w:tmpl w:val="5E184414"/>
    <w:styleLink w:val="List1"/>
    <w:lvl w:ilvl="0">
      <w:start w:val="1"/>
      <w:numFmt w:val="bullet"/>
      <w:lvlText w:val="•"/>
      <w:lvlJc w:val="left"/>
      <w:pPr>
        <w:tabs>
          <w:tab w:val="num" w:pos="309"/>
        </w:tabs>
        <w:ind w:left="309" w:hanging="309"/>
      </w:pPr>
      <w:rPr>
        <w:rFonts w:ascii="Verdana" w:eastAsia="Verdana" w:hAnsi="Verdana" w:cs="Verdana"/>
        <w:color w:val="000000"/>
        <w:position w:val="0"/>
        <w:sz w:val="22"/>
        <w:szCs w:val="22"/>
        <w:u w:color="000000"/>
        <w:lang w:val="es-ES_tradnl"/>
      </w:rPr>
    </w:lvl>
    <w:lvl w:ilvl="1">
      <w:start w:val="1"/>
      <w:numFmt w:val="bullet"/>
      <w:lvlText w:val="•"/>
      <w:lvlJc w:val="left"/>
      <w:pPr>
        <w:tabs>
          <w:tab w:val="num" w:pos="660"/>
        </w:tabs>
        <w:ind w:left="660" w:hanging="300"/>
      </w:pPr>
      <w:rPr>
        <w:rFonts w:ascii="Verdana" w:eastAsia="Verdana" w:hAnsi="Verdana" w:cs="Verdana"/>
        <w:color w:val="000000"/>
        <w:position w:val="0"/>
        <w:sz w:val="20"/>
        <w:szCs w:val="20"/>
        <w:u w:color="000000"/>
        <w:lang w:val="es-ES_tradnl"/>
      </w:rPr>
    </w:lvl>
    <w:lvl w:ilvl="2">
      <w:start w:val="1"/>
      <w:numFmt w:val="bullet"/>
      <w:lvlText w:val="•"/>
      <w:lvlJc w:val="left"/>
      <w:pPr>
        <w:tabs>
          <w:tab w:val="num" w:pos="660"/>
        </w:tabs>
        <w:ind w:left="660" w:hanging="300"/>
      </w:pPr>
      <w:rPr>
        <w:rFonts w:ascii="Verdana" w:eastAsia="Verdana" w:hAnsi="Verdana" w:cs="Verdana"/>
        <w:color w:val="000000"/>
        <w:position w:val="0"/>
        <w:sz w:val="20"/>
        <w:szCs w:val="20"/>
        <w:u w:color="000000"/>
        <w:lang w:val="es-ES_tradnl"/>
      </w:rPr>
    </w:lvl>
    <w:lvl w:ilvl="3">
      <w:start w:val="1"/>
      <w:numFmt w:val="bullet"/>
      <w:lvlText w:val="•"/>
      <w:lvlJc w:val="left"/>
      <w:pPr>
        <w:tabs>
          <w:tab w:val="num" w:pos="660"/>
        </w:tabs>
        <w:ind w:left="660" w:hanging="300"/>
      </w:pPr>
      <w:rPr>
        <w:rFonts w:ascii="Verdana" w:eastAsia="Verdana" w:hAnsi="Verdana" w:cs="Verdana"/>
        <w:color w:val="000000"/>
        <w:position w:val="0"/>
        <w:sz w:val="20"/>
        <w:szCs w:val="20"/>
        <w:u w:color="000000"/>
        <w:lang w:val="es-ES_tradnl"/>
      </w:rPr>
    </w:lvl>
    <w:lvl w:ilvl="4">
      <w:start w:val="1"/>
      <w:numFmt w:val="bullet"/>
      <w:lvlText w:val="•"/>
      <w:lvlJc w:val="left"/>
      <w:pPr>
        <w:tabs>
          <w:tab w:val="num" w:pos="660"/>
        </w:tabs>
        <w:ind w:left="660" w:hanging="300"/>
      </w:pPr>
      <w:rPr>
        <w:rFonts w:ascii="Verdana" w:eastAsia="Verdana" w:hAnsi="Verdana" w:cs="Verdana"/>
        <w:color w:val="000000"/>
        <w:position w:val="0"/>
        <w:sz w:val="20"/>
        <w:szCs w:val="20"/>
        <w:u w:color="000000"/>
        <w:lang w:val="es-ES_tradnl"/>
      </w:rPr>
    </w:lvl>
    <w:lvl w:ilvl="5">
      <w:start w:val="1"/>
      <w:numFmt w:val="bullet"/>
      <w:lvlText w:val="•"/>
      <w:lvlJc w:val="left"/>
      <w:pPr>
        <w:tabs>
          <w:tab w:val="num" w:pos="660"/>
        </w:tabs>
        <w:ind w:left="660" w:hanging="300"/>
      </w:pPr>
      <w:rPr>
        <w:rFonts w:ascii="Verdana" w:eastAsia="Verdana" w:hAnsi="Verdana" w:cs="Verdana"/>
        <w:color w:val="000000"/>
        <w:position w:val="0"/>
        <w:sz w:val="20"/>
        <w:szCs w:val="20"/>
        <w:u w:color="000000"/>
        <w:lang w:val="es-ES_tradnl"/>
      </w:rPr>
    </w:lvl>
    <w:lvl w:ilvl="6">
      <w:start w:val="1"/>
      <w:numFmt w:val="bullet"/>
      <w:lvlText w:val="•"/>
      <w:lvlJc w:val="left"/>
      <w:pPr>
        <w:tabs>
          <w:tab w:val="num" w:pos="660"/>
        </w:tabs>
        <w:ind w:left="660" w:hanging="300"/>
      </w:pPr>
      <w:rPr>
        <w:rFonts w:ascii="Verdana" w:eastAsia="Verdana" w:hAnsi="Verdana" w:cs="Verdana"/>
        <w:color w:val="000000"/>
        <w:position w:val="0"/>
        <w:sz w:val="20"/>
        <w:szCs w:val="20"/>
        <w:u w:color="000000"/>
        <w:lang w:val="es-ES_tradnl"/>
      </w:rPr>
    </w:lvl>
    <w:lvl w:ilvl="7">
      <w:start w:val="1"/>
      <w:numFmt w:val="bullet"/>
      <w:lvlText w:val="•"/>
      <w:lvlJc w:val="left"/>
      <w:pPr>
        <w:tabs>
          <w:tab w:val="num" w:pos="660"/>
        </w:tabs>
        <w:ind w:left="660" w:hanging="300"/>
      </w:pPr>
      <w:rPr>
        <w:rFonts w:ascii="Verdana" w:eastAsia="Verdana" w:hAnsi="Verdana" w:cs="Verdana"/>
        <w:color w:val="000000"/>
        <w:position w:val="0"/>
        <w:sz w:val="20"/>
        <w:szCs w:val="20"/>
        <w:u w:color="000000"/>
        <w:lang w:val="es-ES_tradnl"/>
      </w:rPr>
    </w:lvl>
    <w:lvl w:ilvl="8">
      <w:start w:val="1"/>
      <w:numFmt w:val="bullet"/>
      <w:lvlText w:val="•"/>
      <w:lvlJc w:val="left"/>
      <w:pPr>
        <w:tabs>
          <w:tab w:val="num" w:pos="660"/>
        </w:tabs>
        <w:ind w:left="660" w:hanging="300"/>
      </w:pPr>
      <w:rPr>
        <w:rFonts w:ascii="Verdana" w:eastAsia="Verdana" w:hAnsi="Verdana" w:cs="Verdana"/>
        <w:color w:val="000000"/>
        <w:position w:val="0"/>
        <w:sz w:val="20"/>
        <w:szCs w:val="20"/>
        <w:u w:color="000000"/>
        <w:lang w:val="es-ES_tradnl"/>
      </w:rPr>
    </w:lvl>
  </w:abstractNum>
  <w:abstractNum w:abstractNumId="16">
    <w:nsid w:val="433A3CE2"/>
    <w:multiLevelType w:val="hybridMultilevel"/>
    <w:tmpl w:val="961E6CF8"/>
    <w:lvl w:ilvl="0" w:tplc="0C0A0001">
      <w:start w:val="1"/>
      <w:numFmt w:val="bullet"/>
      <w:lvlText w:val=""/>
      <w:lvlJc w:val="left"/>
      <w:pPr>
        <w:ind w:left="360" w:hanging="360"/>
      </w:pPr>
      <w:rPr>
        <w:rFonts w:ascii="Symbol" w:hAnsi="Symbol" w:hint="default"/>
      </w:rPr>
    </w:lvl>
    <w:lvl w:ilvl="1" w:tplc="8110E33E">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43EF6F0C"/>
    <w:multiLevelType w:val="hybridMultilevel"/>
    <w:tmpl w:val="94C83AD6"/>
    <w:lvl w:ilvl="0" w:tplc="749AB914">
      <w:start w:val="1"/>
      <w:numFmt w:val="bullet"/>
      <w:lvlText w:val=""/>
      <w:lvlJc w:val="left"/>
      <w:pPr>
        <w:tabs>
          <w:tab w:val="num" w:pos="360"/>
        </w:tabs>
        <w:ind w:left="360" w:hanging="360"/>
      </w:pPr>
      <w:rPr>
        <w:rFonts w:ascii="Wingdings" w:hAnsi="Wingdings" w:hint="default"/>
        <w:color w:val="016FB8"/>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5AFF3807"/>
    <w:multiLevelType w:val="hybridMultilevel"/>
    <w:tmpl w:val="266AF9A0"/>
    <w:lvl w:ilvl="0" w:tplc="0C0A000F">
      <w:start w:val="1"/>
      <w:numFmt w:val="decimal"/>
      <w:lvlText w:val="%1."/>
      <w:lvlJc w:val="left"/>
      <w:pPr>
        <w:tabs>
          <w:tab w:val="num" w:pos="360"/>
        </w:tabs>
        <w:ind w:left="360" w:hanging="360"/>
      </w:pPr>
    </w:lvl>
    <w:lvl w:ilvl="1" w:tplc="0C0A0017">
      <w:start w:val="1"/>
      <w:numFmt w:val="lowerLetter"/>
      <w:lvlText w:val="%2)"/>
      <w:lvlJc w:val="left"/>
      <w:pPr>
        <w:tabs>
          <w:tab w:val="num" w:pos="1080"/>
        </w:tabs>
        <w:ind w:left="1080" w:hanging="360"/>
      </w:pPr>
    </w:lvl>
    <w:lvl w:ilvl="2" w:tplc="0C0A0005">
      <w:start w:val="1"/>
      <w:numFmt w:val="bullet"/>
      <w:lvlText w:val=""/>
      <w:lvlJc w:val="left"/>
      <w:pPr>
        <w:tabs>
          <w:tab w:val="num" w:pos="1980"/>
        </w:tabs>
        <w:ind w:left="1980" w:hanging="360"/>
      </w:pPr>
      <w:rPr>
        <w:rFonts w:ascii="Wingdings" w:hAnsi="Wingding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C3A4B7C"/>
    <w:multiLevelType w:val="hybridMultilevel"/>
    <w:tmpl w:val="E72ABB20"/>
    <w:lvl w:ilvl="0" w:tplc="6A3037D8">
      <w:start w:val="1"/>
      <w:numFmt w:val="bullet"/>
      <w:lvlText w:val=""/>
      <w:lvlJc w:val="left"/>
      <w:pPr>
        <w:tabs>
          <w:tab w:val="num" w:pos="360"/>
        </w:tabs>
        <w:ind w:left="360" w:hanging="360"/>
      </w:pPr>
      <w:rPr>
        <w:rFonts w:ascii="Wingdings" w:hAnsi="Wingdings" w:hint="default"/>
        <w:color w:val="016FB8"/>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6F085B7A"/>
    <w:multiLevelType w:val="hybridMultilevel"/>
    <w:tmpl w:val="46385370"/>
    <w:lvl w:ilvl="0" w:tplc="3F4A8CD0">
      <w:start w:val="1"/>
      <w:numFmt w:val="bullet"/>
      <w:lvlText w:val=""/>
      <w:lvlJc w:val="left"/>
      <w:pPr>
        <w:tabs>
          <w:tab w:val="num" w:pos="360"/>
        </w:tabs>
        <w:ind w:left="360" w:hanging="360"/>
      </w:pPr>
      <w:rPr>
        <w:rFonts w:ascii="Symbol" w:hAnsi="Symbol" w:hint="default"/>
        <w:strike w:val="0"/>
        <w:color w:val="016FB8"/>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7F4A1B37"/>
    <w:multiLevelType w:val="hybridMultilevel"/>
    <w:tmpl w:val="DBDAB430"/>
    <w:lvl w:ilvl="0" w:tplc="0436D036">
      <w:start w:val="1"/>
      <w:numFmt w:val="bullet"/>
      <w:lvlText w:val=""/>
      <w:lvlJc w:val="left"/>
      <w:pPr>
        <w:tabs>
          <w:tab w:val="num" w:pos="360"/>
        </w:tabs>
        <w:ind w:left="360" w:hanging="360"/>
      </w:pPr>
      <w:rPr>
        <w:rFonts w:ascii="Wingdings" w:hAnsi="Wingdings" w:hint="default"/>
        <w:color w:val="016FB8"/>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7FB523C8"/>
    <w:multiLevelType w:val="hybridMultilevel"/>
    <w:tmpl w:val="3A7052E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4"/>
  </w:num>
  <w:num w:numId="2">
    <w:abstractNumId w:val="0"/>
  </w:num>
  <w:num w:numId="3">
    <w:abstractNumId w:val="18"/>
  </w:num>
  <w:num w:numId="4">
    <w:abstractNumId w:val="12"/>
  </w:num>
  <w:num w:numId="5">
    <w:abstractNumId w:val="4"/>
  </w:num>
  <w:num w:numId="6">
    <w:abstractNumId w:val="2"/>
  </w:num>
  <w:num w:numId="7">
    <w:abstractNumId w:val="21"/>
  </w:num>
  <w:num w:numId="8">
    <w:abstractNumId w:val="20"/>
  </w:num>
  <w:num w:numId="9">
    <w:abstractNumId w:val="8"/>
  </w:num>
  <w:num w:numId="10">
    <w:abstractNumId w:val="19"/>
  </w:num>
  <w:num w:numId="11">
    <w:abstractNumId w:val="7"/>
  </w:num>
  <w:num w:numId="12">
    <w:abstractNumId w:val="5"/>
  </w:num>
  <w:num w:numId="13">
    <w:abstractNumId w:val="17"/>
  </w:num>
  <w:num w:numId="14">
    <w:abstractNumId w:val="9"/>
  </w:num>
  <w:num w:numId="15">
    <w:abstractNumId w:val="1"/>
  </w:num>
  <w:num w:numId="16">
    <w:abstractNumId w:val="3"/>
  </w:num>
  <w:num w:numId="17">
    <w:abstractNumId w:val="13"/>
  </w:num>
  <w:num w:numId="18">
    <w:abstractNumId w:val="15"/>
  </w:num>
  <w:num w:numId="19">
    <w:abstractNumId w:val="6"/>
  </w:num>
  <w:num w:numId="20">
    <w:abstractNumId w:val="10"/>
  </w:num>
  <w:num w:numId="21">
    <w:abstractNumId w:val="16"/>
  </w:num>
  <w:num w:numId="22">
    <w:abstractNumId w:val="11"/>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581E"/>
    <w:rsid w:val="00000070"/>
    <w:rsid w:val="0000370C"/>
    <w:rsid w:val="00003C74"/>
    <w:rsid w:val="00003FD8"/>
    <w:rsid w:val="0000445F"/>
    <w:rsid w:val="000046E5"/>
    <w:rsid w:val="00007B6E"/>
    <w:rsid w:val="00010401"/>
    <w:rsid w:val="000122CA"/>
    <w:rsid w:val="00012B9E"/>
    <w:rsid w:val="00017174"/>
    <w:rsid w:val="0001748F"/>
    <w:rsid w:val="000178A3"/>
    <w:rsid w:val="000206B3"/>
    <w:rsid w:val="00020DF5"/>
    <w:rsid w:val="000211EA"/>
    <w:rsid w:val="00023BDD"/>
    <w:rsid w:val="00025C51"/>
    <w:rsid w:val="00026706"/>
    <w:rsid w:val="000339BC"/>
    <w:rsid w:val="00035A01"/>
    <w:rsid w:val="00036713"/>
    <w:rsid w:val="00037B3C"/>
    <w:rsid w:val="000429F3"/>
    <w:rsid w:val="00043DA4"/>
    <w:rsid w:val="00044C50"/>
    <w:rsid w:val="00045AA0"/>
    <w:rsid w:val="00046645"/>
    <w:rsid w:val="00047565"/>
    <w:rsid w:val="0005128C"/>
    <w:rsid w:val="000517AF"/>
    <w:rsid w:val="00053700"/>
    <w:rsid w:val="000550A2"/>
    <w:rsid w:val="0005739D"/>
    <w:rsid w:val="00057BBD"/>
    <w:rsid w:val="00057E85"/>
    <w:rsid w:val="00060B66"/>
    <w:rsid w:val="00061450"/>
    <w:rsid w:val="00065044"/>
    <w:rsid w:val="000667DA"/>
    <w:rsid w:val="00066D8E"/>
    <w:rsid w:val="000675BA"/>
    <w:rsid w:val="00067A11"/>
    <w:rsid w:val="00067A69"/>
    <w:rsid w:val="00067E7D"/>
    <w:rsid w:val="000711B2"/>
    <w:rsid w:val="00071DA2"/>
    <w:rsid w:val="00072E91"/>
    <w:rsid w:val="00073BF8"/>
    <w:rsid w:val="000755E9"/>
    <w:rsid w:val="00076464"/>
    <w:rsid w:val="0007650F"/>
    <w:rsid w:val="00077003"/>
    <w:rsid w:val="00081862"/>
    <w:rsid w:val="00082495"/>
    <w:rsid w:val="00082E8D"/>
    <w:rsid w:val="00083519"/>
    <w:rsid w:val="00084DEF"/>
    <w:rsid w:val="00091E64"/>
    <w:rsid w:val="000924D0"/>
    <w:rsid w:val="000932CC"/>
    <w:rsid w:val="000944CE"/>
    <w:rsid w:val="000949A2"/>
    <w:rsid w:val="0009745D"/>
    <w:rsid w:val="00097857"/>
    <w:rsid w:val="000A0C8C"/>
    <w:rsid w:val="000A1A9A"/>
    <w:rsid w:val="000A3853"/>
    <w:rsid w:val="000B018A"/>
    <w:rsid w:val="000B073A"/>
    <w:rsid w:val="000B0832"/>
    <w:rsid w:val="000B0BDF"/>
    <w:rsid w:val="000B1D82"/>
    <w:rsid w:val="000B4282"/>
    <w:rsid w:val="000B4DF9"/>
    <w:rsid w:val="000B500D"/>
    <w:rsid w:val="000B5D49"/>
    <w:rsid w:val="000B783B"/>
    <w:rsid w:val="000C25AC"/>
    <w:rsid w:val="000C2EF1"/>
    <w:rsid w:val="000C38DB"/>
    <w:rsid w:val="000C3A09"/>
    <w:rsid w:val="000C3F3A"/>
    <w:rsid w:val="000C67A6"/>
    <w:rsid w:val="000D071C"/>
    <w:rsid w:val="000D12C0"/>
    <w:rsid w:val="000D667A"/>
    <w:rsid w:val="000D6AD2"/>
    <w:rsid w:val="000E06F1"/>
    <w:rsid w:val="000E0C39"/>
    <w:rsid w:val="000E2315"/>
    <w:rsid w:val="000E389C"/>
    <w:rsid w:val="000E6E4E"/>
    <w:rsid w:val="000F0AFB"/>
    <w:rsid w:val="000F1A70"/>
    <w:rsid w:val="000F30DB"/>
    <w:rsid w:val="000F3ACB"/>
    <w:rsid w:val="000F4B61"/>
    <w:rsid w:val="000F517A"/>
    <w:rsid w:val="000F56AD"/>
    <w:rsid w:val="001014A1"/>
    <w:rsid w:val="00101577"/>
    <w:rsid w:val="00103FFB"/>
    <w:rsid w:val="001064A3"/>
    <w:rsid w:val="0011413A"/>
    <w:rsid w:val="001150F5"/>
    <w:rsid w:val="0011705D"/>
    <w:rsid w:val="001223AF"/>
    <w:rsid w:val="00122913"/>
    <w:rsid w:val="00123265"/>
    <w:rsid w:val="001238AC"/>
    <w:rsid w:val="0012396E"/>
    <w:rsid w:val="00125854"/>
    <w:rsid w:val="00125DF6"/>
    <w:rsid w:val="00126C7B"/>
    <w:rsid w:val="00127E82"/>
    <w:rsid w:val="001344B3"/>
    <w:rsid w:val="001362EE"/>
    <w:rsid w:val="00136891"/>
    <w:rsid w:val="0014126A"/>
    <w:rsid w:val="00150409"/>
    <w:rsid w:val="00156700"/>
    <w:rsid w:val="00161D7C"/>
    <w:rsid w:val="00162CE3"/>
    <w:rsid w:val="0016496D"/>
    <w:rsid w:val="00165ED8"/>
    <w:rsid w:val="0016712C"/>
    <w:rsid w:val="00167782"/>
    <w:rsid w:val="001734E5"/>
    <w:rsid w:val="00173D0B"/>
    <w:rsid w:val="0017535F"/>
    <w:rsid w:val="001758E0"/>
    <w:rsid w:val="00181CDC"/>
    <w:rsid w:val="00186034"/>
    <w:rsid w:val="001862B3"/>
    <w:rsid w:val="00187B02"/>
    <w:rsid w:val="001912C5"/>
    <w:rsid w:val="001970F1"/>
    <w:rsid w:val="001A04B6"/>
    <w:rsid w:val="001A0C28"/>
    <w:rsid w:val="001A5EA7"/>
    <w:rsid w:val="001A5F74"/>
    <w:rsid w:val="001B139E"/>
    <w:rsid w:val="001B30E2"/>
    <w:rsid w:val="001B33EA"/>
    <w:rsid w:val="001B341E"/>
    <w:rsid w:val="001B3C0C"/>
    <w:rsid w:val="001B7A7F"/>
    <w:rsid w:val="001C246B"/>
    <w:rsid w:val="001C24FE"/>
    <w:rsid w:val="001C64C4"/>
    <w:rsid w:val="001D00EA"/>
    <w:rsid w:val="001D1FE1"/>
    <w:rsid w:val="001D4731"/>
    <w:rsid w:val="001D6A8A"/>
    <w:rsid w:val="001D7A3D"/>
    <w:rsid w:val="001E0CA4"/>
    <w:rsid w:val="001E1632"/>
    <w:rsid w:val="001E343C"/>
    <w:rsid w:val="001E7E2F"/>
    <w:rsid w:val="001F12F8"/>
    <w:rsid w:val="001F14AD"/>
    <w:rsid w:val="001F571F"/>
    <w:rsid w:val="001F5AF8"/>
    <w:rsid w:val="001F64BF"/>
    <w:rsid w:val="001F6D36"/>
    <w:rsid w:val="001F74C5"/>
    <w:rsid w:val="002024EE"/>
    <w:rsid w:val="00204AAB"/>
    <w:rsid w:val="00204D7A"/>
    <w:rsid w:val="002052F9"/>
    <w:rsid w:val="00205424"/>
    <w:rsid w:val="00207292"/>
    <w:rsid w:val="002130B0"/>
    <w:rsid w:val="00213A0A"/>
    <w:rsid w:val="00214621"/>
    <w:rsid w:val="002177C2"/>
    <w:rsid w:val="00221139"/>
    <w:rsid w:val="00221C41"/>
    <w:rsid w:val="00221E8D"/>
    <w:rsid w:val="00223AB7"/>
    <w:rsid w:val="00225D5A"/>
    <w:rsid w:val="0022689F"/>
    <w:rsid w:val="0022728C"/>
    <w:rsid w:val="00227801"/>
    <w:rsid w:val="00232D53"/>
    <w:rsid w:val="00233454"/>
    <w:rsid w:val="00233FC3"/>
    <w:rsid w:val="00235761"/>
    <w:rsid w:val="00236407"/>
    <w:rsid w:val="0024342D"/>
    <w:rsid w:val="00244047"/>
    <w:rsid w:val="00246A42"/>
    <w:rsid w:val="00247D4B"/>
    <w:rsid w:val="00250ABD"/>
    <w:rsid w:val="002513CE"/>
    <w:rsid w:val="00254914"/>
    <w:rsid w:val="002554ED"/>
    <w:rsid w:val="002562BF"/>
    <w:rsid w:val="0025741F"/>
    <w:rsid w:val="00257C28"/>
    <w:rsid w:val="002606AD"/>
    <w:rsid w:val="0026115E"/>
    <w:rsid w:val="00261B6B"/>
    <w:rsid w:val="002641C1"/>
    <w:rsid w:val="00264D3B"/>
    <w:rsid w:val="0026580B"/>
    <w:rsid w:val="00270290"/>
    <w:rsid w:val="00270B1E"/>
    <w:rsid w:val="00270D54"/>
    <w:rsid w:val="0027553B"/>
    <w:rsid w:val="00275727"/>
    <w:rsid w:val="002758EC"/>
    <w:rsid w:val="00275BCF"/>
    <w:rsid w:val="00276C3B"/>
    <w:rsid w:val="00277515"/>
    <w:rsid w:val="002775E6"/>
    <w:rsid w:val="00280D80"/>
    <w:rsid w:val="002814BA"/>
    <w:rsid w:val="002825C3"/>
    <w:rsid w:val="00283BE8"/>
    <w:rsid w:val="0028581D"/>
    <w:rsid w:val="00286810"/>
    <w:rsid w:val="002917D9"/>
    <w:rsid w:val="0029258E"/>
    <w:rsid w:val="0029283E"/>
    <w:rsid w:val="00292C16"/>
    <w:rsid w:val="00295BD0"/>
    <w:rsid w:val="00296926"/>
    <w:rsid w:val="002976D6"/>
    <w:rsid w:val="002A283C"/>
    <w:rsid w:val="002A3690"/>
    <w:rsid w:val="002A409C"/>
    <w:rsid w:val="002A5C61"/>
    <w:rsid w:val="002A5E5E"/>
    <w:rsid w:val="002A6D64"/>
    <w:rsid w:val="002B1544"/>
    <w:rsid w:val="002B5558"/>
    <w:rsid w:val="002B5D0A"/>
    <w:rsid w:val="002B5D14"/>
    <w:rsid w:val="002B5E39"/>
    <w:rsid w:val="002B6171"/>
    <w:rsid w:val="002B6BC5"/>
    <w:rsid w:val="002C073F"/>
    <w:rsid w:val="002C145E"/>
    <w:rsid w:val="002C33A6"/>
    <w:rsid w:val="002C44F3"/>
    <w:rsid w:val="002C4702"/>
    <w:rsid w:val="002C5FE4"/>
    <w:rsid w:val="002D0056"/>
    <w:rsid w:val="002D0F64"/>
    <w:rsid w:val="002D1B9E"/>
    <w:rsid w:val="002D5794"/>
    <w:rsid w:val="002D621F"/>
    <w:rsid w:val="002D6A5B"/>
    <w:rsid w:val="002D6B1F"/>
    <w:rsid w:val="002D6FC0"/>
    <w:rsid w:val="002E4D21"/>
    <w:rsid w:val="002E4E90"/>
    <w:rsid w:val="002E4F15"/>
    <w:rsid w:val="002E61C1"/>
    <w:rsid w:val="002E6CA5"/>
    <w:rsid w:val="002F0167"/>
    <w:rsid w:val="002F040C"/>
    <w:rsid w:val="002F06A1"/>
    <w:rsid w:val="002F1593"/>
    <w:rsid w:val="002F288C"/>
    <w:rsid w:val="002F5570"/>
    <w:rsid w:val="002F5691"/>
    <w:rsid w:val="00301D69"/>
    <w:rsid w:val="00304020"/>
    <w:rsid w:val="003043F6"/>
    <w:rsid w:val="00305B2C"/>
    <w:rsid w:val="0031042F"/>
    <w:rsid w:val="00312550"/>
    <w:rsid w:val="00314435"/>
    <w:rsid w:val="003174D8"/>
    <w:rsid w:val="00324BB0"/>
    <w:rsid w:val="00325458"/>
    <w:rsid w:val="00325F07"/>
    <w:rsid w:val="00327460"/>
    <w:rsid w:val="0032770D"/>
    <w:rsid w:val="0033111C"/>
    <w:rsid w:val="00340B75"/>
    <w:rsid w:val="00340C63"/>
    <w:rsid w:val="00341562"/>
    <w:rsid w:val="00341968"/>
    <w:rsid w:val="00341B68"/>
    <w:rsid w:val="00341C1B"/>
    <w:rsid w:val="00346A10"/>
    <w:rsid w:val="00350F46"/>
    <w:rsid w:val="003515B8"/>
    <w:rsid w:val="00351F2E"/>
    <w:rsid w:val="00354455"/>
    <w:rsid w:val="003555E7"/>
    <w:rsid w:val="003557B0"/>
    <w:rsid w:val="003562D3"/>
    <w:rsid w:val="00356CA0"/>
    <w:rsid w:val="003575A0"/>
    <w:rsid w:val="00357841"/>
    <w:rsid w:val="0036021A"/>
    <w:rsid w:val="0036061A"/>
    <w:rsid w:val="003609C2"/>
    <w:rsid w:val="0036208D"/>
    <w:rsid w:val="00362C2F"/>
    <w:rsid w:val="00364013"/>
    <w:rsid w:val="00364CBA"/>
    <w:rsid w:val="00366A69"/>
    <w:rsid w:val="00366E02"/>
    <w:rsid w:val="00371007"/>
    <w:rsid w:val="0037235B"/>
    <w:rsid w:val="00373123"/>
    <w:rsid w:val="00375D35"/>
    <w:rsid w:val="0038082A"/>
    <w:rsid w:val="00380B21"/>
    <w:rsid w:val="00381AF8"/>
    <w:rsid w:val="003847A5"/>
    <w:rsid w:val="00391A76"/>
    <w:rsid w:val="00391D8E"/>
    <w:rsid w:val="00391E5B"/>
    <w:rsid w:val="00392C4F"/>
    <w:rsid w:val="003932DD"/>
    <w:rsid w:val="003935A6"/>
    <w:rsid w:val="00394CCE"/>
    <w:rsid w:val="00396539"/>
    <w:rsid w:val="003971B2"/>
    <w:rsid w:val="003A02AC"/>
    <w:rsid w:val="003A1576"/>
    <w:rsid w:val="003A2029"/>
    <w:rsid w:val="003A2800"/>
    <w:rsid w:val="003A5785"/>
    <w:rsid w:val="003A78D8"/>
    <w:rsid w:val="003B0FE7"/>
    <w:rsid w:val="003B10AB"/>
    <w:rsid w:val="003B1536"/>
    <w:rsid w:val="003B4607"/>
    <w:rsid w:val="003B46AE"/>
    <w:rsid w:val="003B7AAC"/>
    <w:rsid w:val="003C1E31"/>
    <w:rsid w:val="003C3CC5"/>
    <w:rsid w:val="003C465B"/>
    <w:rsid w:val="003C5E61"/>
    <w:rsid w:val="003C618F"/>
    <w:rsid w:val="003C6898"/>
    <w:rsid w:val="003C7EC8"/>
    <w:rsid w:val="003D061E"/>
    <w:rsid w:val="003D4998"/>
    <w:rsid w:val="003D4F6C"/>
    <w:rsid w:val="003D54DD"/>
    <w:rsid w:val="003D762F"/>
    <w:rsid w:val="003E0CF9"/>
    <w:rsid w:val="003E128C"/>
    <w:rsid w:val="003E350A"/>
    <w:rsid w:val="003E4328"/>
    <w:rsid w:val="003E737F"/>
    <w:rsid w:val="003F7B22"/>
    <w:rsid w:val="00404214"/>
    <w:rsid w:val="00405F72"/>
    <w:rsid w:val="0040684F"/>
    <w:rsid w:val="00407826"/>
    <w:rsid w:val="00411205"/>
    <w:rsid w:val="00411489"/>
    <w:rsid w:val="00412304"/>
    <w:rsid w:val="004138B9"/>
    <w:rsid w:val="004146EF"/>
    <w:rsid w:val="00416631"/>
    <w:rsid w:val="00417613"/>
    <w:rsid w:val="0042034F"/>
    <w:rsid w:val="00420DFF"/>
    <w:rsid w:val="004224EB"/>
    <w:rsid w:val="00422FA0"/>
    <w:rsid w:val="00425AA2"/>
    <w:rsid w:val="00426673"/>
    <w:rsid w:val="004268DF"/>
    <w:rsid w:val="00430A42"/>
    <w:rsid w:val="00430F79"/>
    <w:rsid w:val="0043217D"/>
    <w:rsid w:val="00435CD7"/>
    <w:rsid w:val="004371C4"/>
    <w:rsid w:val="00441C20"/>
    <w:rsid w:val="00443EA2"/>
    <w:rsid w:val="00444F4D"/>
    <w:rsid w:val="00447FA9"/>
    <w:rsid w:val="004516C8"/>
    <w:rsid w:val="00451F2A"/>
    <w:rsid w:val="00452E35"/>
    <w:rsid w:val="00453AF1"/>
    <w:rsid w:val="00455211"/>
    <w:rsid w:val="00456E3A"/>
    <w:rsid w:val="004575C1"/>
    <w:rsid w:val="0045780B"/>
    <w:rsid w:val="0045790B"/>
    <w:rsid w:val="00460660"/>
    <w:rsid w:val="00460878"/>
    <w:rsid w:val="00464B1C"/>
    <w:rsid w:val="004655B6"/>
    <w:rsid w:val="00467659"/>
    <w:rsid w:val="00467E3E"/>
    <w:rsid w:val="00470276"/>
    <w:rsid w:val="00470692"/>
    <w:rsid w:val="00471589"/>
    <w:rsid w:val="004728D8"/>
    <w:rsid w:val="00473757"/>
    <w:rsid w:val="00473B7B"/>
    <w:rsid w:val="004752B9"/>
    <w:rsid w:val="00475703"/>
    <w:rsid w:val="0047653F"/>
    <w:rsid w:val="00476623"/>
    <w:rsid w:val="00476E0E"/>
    <w:rsid w:val="0047727F"/>
    <w:rsid w:val="0048056D"/>
    <w:rsid w:val="00481089"/>
    <w:rsid w:val="00482A17"/>
    <w:rsid w:val="00483D92"/>
    <w:rsid w:val="00484EDA"/>
    <w:rsid w:val="00485A98"/>
    <w:rsid w:val="00487F85"/>
    <w:rsid w:val="004927C0"/>
    <w:rsid w:val="004967B3"/>
    <w:rsid w:val="0049797E"/>
    <w:rsid w:val="004A0C54"/>
    <w:rsid w:val="004A2666"/>
    <w:rsid w:val="004A2E5B"/>
    <w:rsid w:val="004A31A5"/>
    <w:rsid w:val="004A42C1"/>
    <w:rsid w:val="004B0D94"/>
    <w:rsid w:val="004B4BD5"/>
    <w:rsid w:val="004B55BE"/>
    <w:rsid w:val="004B5715"/>
    <w:rsid w:val="004B67DA"/>
    <w:rsid w:val="004B7138"/>
    <w:rsid w:val="004B7902"/>
    <w:rsid w:val="004C125E"/>
    <w:rsid w:val="004C21F6"/>
    <w:rsid w:val="004C33DB"/>
    <w:rsid w:val="004C36A2"/>
    <w:rsid w:val="004C3E9E"/>
    <w:rsid w:val="004C6C93"/>
    <w:rsid w:val="004D032B"/>
    <w:rsid w:val="004D1753"/>
    <w:rsid w:val="004D2F49"/>
    <w:rsid w:val="004D35A5"/>
    <w:rsid w:val="004E110A"/>
    <w:rsid w:val="004E1B54"/>
    <w:rsid w:val="004E302B"/>
    <w:rsid w:val="004E5130"/>
    <w:rsid w:val="004E5B18"/>
    <w:rsid w:val="004E7190"/>
    <w:rsid w:val="004E7A51"/>
    <w:rsid w:val="004E7A6D"/>
    <w:rsid w:val="004F14C2"/>
    <w:rsid w:val="004F2B77"/>
    <w:rsid w:val="004F4CB9"/>
    <w:rsid w:val="004F5ECA"/>
    <w:rsid w:val="004F5EFA"/>
    <w:rsid w:val="004F6039"/>
    <w:rsid w:val="004F64D4"/>
    <w:rsid w:val="004F6CB5"/>
    <w:rsid w:val="004F7F16"/>
    <w:rsid w:val="00501208"/>
    <w:rsid w:val="00501898"/>
    <w:rsid w:val="00502F89"/>
    <w:rsid w:val="00505495"/>
    <w:rsid w:val="005102DD"/>
    <w:rsid w:val="005115BB"/>
    <w:rsid w:val="00511F1C"/>
    <w:rsid w:val="00514826"/>
    <w:rsid w:val="00521BEA"/>
    <w:rsid w:val="00521D4E"/>
    <w:rsid w:val="0052338E"/>
    <w:rsid w:val="0052484D"/>
    <w:rsid w:val="00524D53"/>
    <w:rsid w:val="00526A96"/>
    <w:rsid w:val="00527590"/>
    <w:rsid w:val="005317BA"/>
    <w:rsid w:val="00531A0C"/>
    <w:rsid w:val="00533397"/>
    <w:rsid w:val="00537099"/>
    <w:rsid w:val="005417F6"/>
    <w:rsid w:val="00542786"/>
    <w:rsid w:val="005445ED"/>
    <w:rsid w:val="00544BBD"/>
    <w:rsid w:val="005460B4"/>
    <w:rsid w:val="00546A5C"/>
    <w:rsid w:val="00551BE9"/>
    <w:rsid w:val="00552699"/>
    <w:rsid w:val="005526C6"/>
    <w:rsid w:val="00552F4A"/>
    <w:rsid w:val="005570E5"/>
    <w:rsid w:val="0055750F"/>
    <w:rsid w:val="00557EFA"/>
    <w:rsid w:val="00561A09"/>
    <w:rsid w:val="00563432"/>
    <w:rsid w:val="00563936"/>
    <w:rsid w:val="00564C72"/>
    <w:rsid w:val="0056537E"/>
    <w:rsid w:val="00566452"/>
    <w:rsid w:val="005705F7"/>
    <w:rsid w:val="0057078A"/>
    <w:rsid w:val="00570ABC"/>
    <w:rsid w:val="00570D5B"/>
    <w:rsid w:val="0057119A"/>
    <w:rsid w:val="005719C5"/>
    <w:rsid w:val="00571FD2"/>
    <w:rsid w:val="005727D2"/>
    <w:rsid w:val="005737B1"/>
    <w:rsid w:val="00573EBB"/>
    <w:rsid w:val="0057492F"/>
    <w:rsid w:val="00580CC3"/>
    <w:rsid w:val="00582818"/>
    <w:rsid w:val="00583DAB"/>
    <w:rsid w:val="00583DAF"/>
    <w:rsid w:val="00584E5A"/>
    <w:rsid w:val="005859B0"/>
    <w:rsid w:val="00591FD3"/>
    <w:rsid w:val="005921BB"/>
    <w:rsid w:val="005933D8"/>
    <w:rsid w:val="005939D3"/>
    <w:rsid w:val="00594E71"/>
    <w:rsid w:val="0059754E"/>
    <w:rsid w:val="00597E4D"/>
    <w:rsid w:val="005A2772"/>
    <w:rsid w:val="005A5266"/>
    <w:rsid w:val="005A5A96"/>
    <w:rsid w:val="005B16D9"/>
    <w:rsid w:val="005B2151"/>
    <w:rsid w:val="005B34EC"/>
    <w:rsid w:val="005B3EEB"/>
    <w:rsid w:val="005B40A1"/>
    <w:rsid w:val="005B767F"/>
    <w:rsid w:val="005B7797"/>
    <w:rsid w:val="005C2445"/>
    <w:rsid w:val="005C3336"/>
    <w:rsid w:val="005C4510"/>
    <w:rsid w:val="005C46C0"/>
    <w:rsid w:val="005C7645"/>
    <w:rsid w:val="005D1008"/>
    <w:rsid w:val="005D134E"/>
    <w:rsid w:val="005D4012"/>
    <w:rsid w:val="005D5E93"/>
    <w:rsid w:val="005D7904"/>
    <w:rsid w:val="005D7B95"/>
    <w:rsid w:val="005E222E"/>
    <w:rsid w:val="005E2FA2"/>
    <w:rsid w:val="005E3839"/>
    <w:rsid w:val="005E4072"/>
    <w:rsid w:val="005E5762"/>
    <w:rsid w:val="005E5ACF"/>
    <w:rsid w:val="005E5CB7"/>
    <w:rsid w:val="005F1B65"/>
    <w:rsid w:val="005F4E66"/>
    <w:rsid w:val="005F5028"/>
    <w:rsid w:val="005F63F6"/>
    <w:rsid w:val="005F6F07"/>
    <w:rsid w:val="005F7484"/>
    <w:rsid w:val="006006CA"/>
    <w:rsid w:val="006064D5"/>
    <w:rsid w:val="00610353"/>
    <w:rsid w:val="00612F25"/>
    <w:rsid w:val="00613C6E"/>
    <w:rsid w:val="00614252"/>
    <w:rsid w:val="00621F2D"/>
    <w:rsid w:val="0062249D"/>
    <w:rsid w:val="006231AF"/>
    <w:rsid w:val="006262AD"/>
    <w:rsid w:val="0062702E"/>
    <w:rsid w:val="0063176D"/>
    <w:rsid w:val="006332D2"/>
    <w:rsid w:val="00634F6E"/>
    <w:rsid w:val="006352BA"/>
    <w:rsid w:val="0064100B"/>
    <w:rsid w:val="00641CAD"/>
    <w:rsid w:val="00641CD8"/>
    <w:rsid w:val="00642FA1"/>
    <w:rsid w:val="00647455"/>
    <w:rsid w:val="0065220C"/>
    <w:rsid w:val="00655B3D"/>
    <w:rsid w:val="00655FC3"/>
    <w:rsid w:val="00656F76"/>
    <w:rsid w:val="00656FE9"/>
    <w:rsid w:val="0065746D"/>
    <w:rsid w:val="00660A9E"/>
    <w:rsid w:val="00661F31"/>
    <w:rsid w:val="00662081"/>
    <w:rsid w:val="00662BD9"/>
    <w:rsid w:val="00662E80"/>
    <w:rsid w:val="00670A7C"/>
    <w:rsid w:val="00670D8F"/>
    <w:rsid w:val="00672116"/>
    <w:rsid w:val="00672602"/>
    <w:rsid w:val="00672965"/>
    <w:rsid w:val="006748C6"/>
    <w:rsid w:val="0067577D"/>
    <w:rsid w:val="00677268"/>
    <w:rsid w:val="006805CC"/>
    <w:rsid w:val="006859E1"/>
    <w:rsid w:val="00685A91"/>
    <w:rsid w:val="00687C70"/>
    <w:rsid w:val="00691084"/>
    <w:rsid w:val="00692AD0"/>
    <w:rsid w:val="00692B5D"/>
    <w:rsid w:val="006934C6"/>
    <w:rsid w:val="00696C56"/>
    <w:rsid w:val="006A0D89"/>
    <w:rsid w:val="006A14B9"/>
    <w:rsid w:val="006A2FCA"/>
    <w:rsid w:val="006A3AC0"/>
    <w:rsid w:val="006A6435"/>
    <w:rsid w:val="006A6F92"/>
    <w:rsid w:val="006A78E2"/>
    <w:rsid w:val="006B056B"/>
    <w:rsid w:val="006B18DD"/>
    <w:rsid w:val="006B2B46"/>
    <w:rsid w:val="006B36AD"/>
    <w:rsid w:val="006B53B8"/>
    <w:rsid w:val="006B7104"/>
    <w:rsid w:val="006C158C"/>
    <w:rsid w:val="006C21E7"/>
    <w:rsid w:val="006D18F0"/>
    <w:rsid w:val="006D20A0"/>
    <w:rsid w:val="006D2440"/>
    <w:rsid w:val="006D5277"/>
    <w:rsid w:val="006D589D"/>
    <w:rsid w:val="006D5C08"/>
    <w:rsid w:val="006D7AD3"/>
    <w:rsid w:val="006E07D3"/>
    <w:rsid w:val="006E1438"/>
    <w:rsid w:val="006E18E9"/>
    <w:rsid w:val="006E1B60"/>
    <w:rsid w:val="006E2F32"/>
    <w:rsid w:val="006E6C3C"/>
    <w:rsid w:val="006E7282"/>
    <w:rsid w:val="006F7B66"/>
    <w:rsid w:val="0070138D"/>
    <w:rsid w:val="00701CFA"/>
    <w:rsid w:val="00702A5B"/>
    <w:rsid w:val="007167C5"/>
    <w:rsid w:val="00716F84"/>
    <w:rsid w:val="00720367"/>
    <w:rsid w:val="00721162"/>
    <w:rsid w:val="00721A0C"/>
    <w:rsid w:val="00723B73"/>
    <w:rsid w:val="00730225"/>
    <w:rsid w:val="00732125"/>
    <w:rsid w:val="00732D1D"/>
    <w:rsid w:val="00733AE9"/>
    <w:rsid w:val="00733CEF"/>
    <w:rsid w:val="00733E2F"/>
    <w:rsid w:val="00736798"/>
    <w:rsid w:val="00740CEC"/>
    <w:rsid w:val="00743BDF"/>
    <w:rsid w:val="00744837"/>
    <w:rsid w:val="00750EB7"/>
    <w:rsid w:val="00752FED"/>
    <w:rsid w:val="0075364A"/>
    <w:rsid w:val="00753C7C"/>
    <w:rsid w:val="007544B9"/>
    <w:rsid w:val="00754A91"/>
    <w:rsid w:val="00755D47"/>
    <w:rsid w:val="00760287"/>
    <w:rsid w:val="00760D9D"/>
    <w:rsid w:val="0076175A"/>
    <w:rsid w:val="00761DE1"/>
    <w:rsid w:val="00762112"/>
    <w:rsid w:val="00762568"/>
    <w:rsid w:val="0076350E"/>
    <w:rsid w:val="00765680"/>
    <w:rsid w:val="007662A8"/>
    <w:rsid w:val="0076785E"/>
    <w:rsid w:val="007712A5"/>
    <w:rsid w:val="00775E27"/>
    <w:rsid w:val="007763CD"/>
    <w:rsid w:val="00777853"/>
    <w:rsid w:val="00780056"/>
    <w:rsid w:val="00784AB2"/>
    <w:rsid w:val="007850CF"/>
    <w:rsid w:val="00786698"/>
    <w:rsid w:val="007928F4"/>
    <w:rsid w:val="007931FC"/>
    <w:rsid w:val="00794C5F"/>
    <w:rsid w:val="00794D3F"/>
    <w:rsid w:val="00795935"/>
    <w:rsid w:val="007A0563"/>
    <w:rsid w:val="007A17B1"/>
    <w:rsid w:val="007A31BC"/>
    <w:rsid w:val="007A4018"/>
    <w:rsid w:val="007A4ABA"/>
    <w:rsid w:val="007A7E74"/>
    <w:rsid w:val="007B0570"/>
    <w:rsid w:val="007B0AF7"/>
    <w:rsid w:val="007C14C2"/>
    <w:rsid w:val="007C4CE4"/>
    <w:rsid w:val="007C59F3"/>
    <w:rsid w:val="007D02B8"/>
    <w:rsid w:val="007D0BD4"/>
    <w:rsid w:val="007D155A"/>
    <w:rsid w:val="007D1F02"/>
    <w:rsid w:val="007D1FD3"/>
    <w:rsid w:val="007D3123"/>
    <w:rsid w:val="007D4F2C"/>
    <w:rsid w:val="007D7D1B"/>
    <w:rsid w:val="007E0C60"/>
    <w:rsid w:val="007E2D20"/>
    <w:rsid w:val="007E2F80"/>
    <w:rsid w:val="007E3113"/>
    <w:rsid w:val="007E37D5"/>
    <w:rsid w:val="007E3F1A"/>
    <w:rsid w:val="007F045E"/>
    <w:rsid w:val="007F09C5"/>
    <w:rsid w:val="007F3350"/>
    <w:rsid w:val="007F4EF3"/>
    <w:rsid w:val="007F5173"/>
    <w:rsid w:val="007F5A7F"/>
    <w:rsid w:val="007F645F"/>
    <w:rsid w:val="007F72A1"/>
    <w:rsid w:val="00800B9C"/>
    <w:rsid w:val="008011E2"/>
    <w:rsid w:val="00803636"/>
    <w:rsid w:val="0080422F"/>
    <w:rsid w:val="008044F0"/>
    <w:rsid w:val="00805A0E"/>
    <w:rsid w:val="00806BF5"/>
    <w:rsid w:val="00820150"/>
    <w:rsid w:val="0082280B"/>
    <w:rsid w:val="00823CC9"/>
    <w:rsid w:val="00824DEA"/>
    <w:rsid w:val="008251C7"/>
    <w:rsid w:val="008267E7"/>
    <w:rsid w:val="00826DCC"/>
    <w:rsid w:val="0082728D"/>
    <w:rsid w:val="00832084"/>
    <w:rsid w:val="00834116"/>
    <w:rsid w:val="0083460B"/>
    <w:rsid w:val="0083494E"/>
    <w:rsid w:val="00836584"/>
    <w:rsid w:val="00836924"/>
    <w:rsid w:val="00837B0A"/>
    <w:rsid w:val="0084012C"/>
    <w:rsid w:val="008401A3"/>
    <w:rsid w:val="00840E16"/>
    <w:rsid w:val="0084111E"/>
    <w:rsid w:val="00841303"/>
    <w:rsid w:val="008417AF"/>
    <w:rsid w:val="0084203F"/>
    <w:rsid w:val="0084703B"/>
    <w:rsid w:val="0085594C"/>
    <w:rsid w:val="00856D8B"/>
    <w:rsid w:val="008611FF"/>
    <w:rsid w:val="00861ECA"/>
    <w:rsid w:val="00865289"/>
    <w:rsid w:val="00865401"/>
    <w:rsid w:val="0087005E"/>
    <w:rsid w:val="00871E36"/>
    <w:rsid w:val="00873B94"/>
    <w:rsid w:val="008740BF"/>
    <w:rsid w:val="00874783"/>
    <w:rsid w:val="0087763C"/>
    <w:rsid w:val="0088448A"/>
    <w:rsid w:val="00885C66"/>
    <w:rsid w:val="0089107F"/>
    <w:rsid w:val="00892020"/>
    <w:rsid w:val="008921B7"/>
    <w:rsid w:val="00892912"/>
    <w:rsid w:val="00893B3B"/>
    <w:rsid w:val="008958D4"/>
    <w:rsid w:val="0089632E"/>
    <w:rsid w:val="008976A5"/>
    <w:rsid w:val="00897D8C"/>
    <w:rsid w:val="008A5A15"/>
    <w:rsid w:val="008A6ABE"/>
    <w:rsid w:val="008B5634"/>
    <w:rsid w:val="008B7B74"/>
    <w:rsid w:val="008C3544"/>
    <w:rsid w:val="008C36EC"/>
    <w:rsid w:val="008C394C"/>
    <w:rsid w:val="008C3FAF"/>
    <w:rsid w:val="008C503F"/>
    <w:rsid w:val="008C52E6"/>
    <w:rsid w:val="008C6E0D"/>
    <w:rsid w:val="008D1336"/>
    <w:rsid w:val="008D2F50"/>
    <w:rsid w:val="008D4472"/>
    <w:rsid w:val="008D7820"/>
    <w:rsid w:val="008E0360"/>
    <w:rsid w:val="008E30FA"/>
    <w:rsid w:val="008E3D0D"/>
    <w:rsid w:val="008E44C6"/>
    <w:rsid w:val="008E45EC"/>
    <w:rsid w:val="008E524E"/>
    <w:rsid w:val="008E6168"/>
    <w:rsid w:val="008E6A12"/>
    <w:rsid w:val="008E6EB4"/>
    <w:rsid w:val="008E7AC1"/>
    <w:rsid w:val="008F4425"/>
    <w:rsid w:val="008F63EB"/>
    <w:rsid w:val="008F7859"/>
    <w:rsid w:val="00900052"/>
    <w:rsid w:val="009028E1"/>
    <w:rsid w:val="00903896"/>
    <w:rsid w:val="00906B7F"/>
    <w:rsid w:val="00907EC1"/>
    <w:rsid w:val="00912EDA"/>
    <w:rsid w:val="00912EDC"/>
    <w:rsid w:val="00914E6A"/>
    <w:rsid w:val="00914FEB"/>
    <w:rsid w:val="009154F1"/>
    <w:rsid w:val="00915E04"/>
    <w:rsid w:val="009169B0"/>
    <w:rsid w:val="00916B67"/>
    <w:rsid w:val="00917723"/>
    <w:rsid w:val="00917D72"/>
    <w:rsid w:val="00922610"/>
    <w:rsid w:val="0092311D"/>
    <w:rsid w:val="0092356E"/>
    <w:rsid w:val="009242D2"/>
    <w:rsid w:val="009243AD"/>
    <w:rsid w:val="00924C35"/>
    <w:rsid w:val="009270DF"/>
    <w:rsid w:val="00932494"/>
    <w:rsid w:val="0093511A"/>
    <w:rsid w:val="0093570D"/>
    <w:rsid w:val="0093723A"/>
    <w:rsid w:val="00941F06"/>
    <w:rsid w:val="00942542"/>
    <w:rsid w:val="0094649C"/>
    <w:rsid w:val="0095132A"/>
    <w:rsid w:val="009516DC"/>
    <w:rsid w:val="00952ECC"/>
    <w:rsid w:val="0095383E"/>
    <w:rsid w:val="00955624"/>
    <w:rsid w:val="00956A45"/>
    <w:rsid w:val="00961A90"/>
    <w:rsid w:val="00962538"/>
    <w:rsid w:val="009635CC"/>
    <w:rsid w:val="009653E5"/>
    <w:rsid w:val="009665BE"/>
    <w:rsid w:val="00966D81"/>
    <w:rsid w:val="0096725C"/>
    <w:rsid w:val="0096769E"/>
    <w:rsid w:val="00971EF5"/>
    <w:rsid w:val="00972D4D"/>
    <w:rsid w:val="00973028"/>
    <w:rsid w:val="00974054"/>
    <w:rsid w:val="00974D34"/>
    <w:rsid w:val="009824B4"/>
    <w:rsid w:val="00985DAF"/>
    <w:rsid w:val="00985DC0"/>
    <w:rsid w:val="009864D1"/>
    <w:rsid w:val="00986A20"/>
    <w:rsid w:val="00987DF1"/>
    <w:rsid w:val="00990292"/>
    <w:rsid w:val="00990CB1"/>
    <w:rsid w:val="00990D49"/>
    <w:rsid w:val="00992C44"/>
    <w:rsid w:val="0099448D"/>
    <w:rsid w:val="00994F26"/>
    <w:rsid w:val="00996750"/>
    <w:rsid w:val="009A5C64"/>
    <w:rsid w:val="009A64C8"/>
    <w:rsid w:val="009A7A8B"/>
    <w:rsid w:val="009B07EE"/>
    <w:rsid w:val="009B24BE"/>
    <w:rsid w:val="009B2DA1"/>
    <w:rsid w:val="009B42E7"/>
    <w:rsid w:val="009B5C7C"/>
    <w:rsid w:val="009B7549"/>
    <w:rsid w:val="009C2CED"/>
    <w:rsid w:val="009C5C02"/>
    <w:rsid w:val="009C6252"/>
    <w:rsid w:val="009C7983"/>
    <w:rsid w:val="009D0820"/>
    <w:rsid w:val="009D1AAF"/>
    <w:rsid w:val="009D1D45"/>
    <w:rsid w:val="009D1F1F"/>
    <w:rsid w:val="009D3542"/>
    <w:rsid w:val="009D41C6"/>
    <w:rsid w:val="009D74F2"/>
    <w:rsid w:val="009D77B8"/>
    <w:rsid w:val="009D7C84"/>
    <w:rsid w:val="009E25C3"/>
    <w:rsid w:val="009E2D9A"/>
    <w:rsid w:val="009E46B7"/>
    <w:rsid w:val="009E5A0D"/>
    <w:rsid w:val="009E5A5A"/>
    <w:rsid w:val="009E689C"/>
    <w:rsid w:val="009F2B17"/>
    <w:rsid w:val="009F365A"/>
    <w:rsid w:val="009F4F98"/>
    <w:rsid w:val="009F5CFC"/>
    <w:rsid w:val="00A02538"/>
    <w:rsid w:val="00A02E32"/>
    <w:rsid w:val="00A057C5"/>
    <w:rsid w:val="00A0735B"/>
    <w:rsid w:val="00A10DB4"/>
    <w:rsid w:val="00A152BF"/>
    <w:rsid w:val="00A15DD3"/>
    <w:rsid w:val="00A16404"/>
    <w:rsid w:val="00A20D7E"/>
    <w:rsid w:val="00A20E72"/>
    <w:rsid w:val="00A216F1"/>
    <w:rsid w:val="00A23048"/>
    <w:rsid w:val="00A234AA"/>
    <w:rsid w:val="00A23BC9"/>
    <w:rsid w:val="00A243B9"/>
    <w:rsid w:val="00A27A3F"/>
    <w:rsid w:val="00A30A11"/>
    <w:rsid w:val="00A31471"/>
    <w:rsid w:val="00A33B56"/>
    <w:rsid w:val="00A33DE1"/>
    <w:rsid w:val="00A358B6"/>
    <w:rsid w:val="00A40D45"/>
    <w:rsid w:val="00A414EF"/>
    <w:rsid w:val="00A437C9"/>
    <w:rsid w:val="00A4398D"/>
    <w:rsid w:val="00A451A0"/>
    <w:rsid w:val="00A477AC"/>
    <w:rsid w:val="00A47A44"/>
    <w:rsid w:val="00A47ACC"/>
    <w:rsid w:val="00A50795"/>
    <w:rsid w:val="00A50F47"/>
    <w:rsid w:val="00A51652"/>
    <w:rsid w:val="00A51EC5"/>
    <w:rsid w:val="00A53743"/>
    <w:rsid w:val="00A54C95"/>
    <w:rsid w:val="00A54CF4"/>
    <w:rsid w:val="00A553B8"/>
    <w:rsid w:val="00A621A4"/>
    <w:rsid w:val="00A63061"/>
    <w:rsid w:val="00A633EA"/>
    <w:rsid w:val="00A65C5F"/>
    <w:rsid w:val="00A6740F"/>
    <w:rsid w:val="00A67A71"/>
    <w:rsid w:val="00A70842"/>
    <w:rsid w:val="00A7204D"/>
    <w:rsid w:val="00A72563"/>
    <w:rsid w:val="00A736A4"/>
    <w:rsid w:val="00A73A07"/>
    <w:rsid w:val="00A74CD7"/>
    <w:rsid w:val="00A7626D"/>
    <w:rsid w:val="00A77928"/>
    <w:rsid w:val="00A8012F"/>
    <w:rsid w:val="00A80A3A"/>
    <w:rsid w:val="00A80A65"/>
    <w:rsid w:val="00A818F7"/>
    <w:rsid w:val="00A82D9D"/>
    <w:rsid w:val="00A865E1"/>
    <w:rsid w:val="00A902FA"/>
    <w:rsid w:val="00A91DAB"/>
    <w:rsid w:val="00A9247F"/>
    <w:rsid w:val="00A95F21"/>
    <w:rsid w:val="00A96B2D"/>
    <w:rsid w:val="00AA0962"/>
    <w:rsid w:val="00AA48D3"/>
    <w:rsid w:val="00AA4AC7"/>
    <w:rsid w:val="00AA4E44"/>
    <w:rsid w:val="00AA6BA9"/>
    <w:rsid w:val="00AA6D43"/>
    <w:rsid w:val="00AB15F6"/>
    <w:rsid w:val="00AB1930"/>
    <w:rsid w:val="00AB1E4A"/>
    <w:rsid w:val="00AB2D8E"/>
    <w:rsid w:val="00AB3E16"/>
    <w:rsid w:val="00AB55F7"/>
    <w:rsid w:val="00AB599C"/>
    <w:rsid w:val="00AC2868"/>
    <w:rsid w:val="00AC4020"/>
    <w:rsid w:val="00AC4A0C"/>
    <w:rsid w:val="00AC4C59"/>
    <w:rsid w:val="00AC60CD"/>
    <w:rsid w:val="00AC64B9"/>
    <w:rsid w:val="00AD0C78"/>
    <w:rsid w:val="00AD25DC"/>
    <w:rsid w:val="00AD4470"/>
    <w:rsid w:val="00AD5005"/>
    <w:rsid w:val="00AD5023"/>
    <w:rsid w:val="00AD67D1"/>
    <w:rsid w:val="00AE197D"/>
    <w:rsid w:val="00AE1B74"/>
    <w:rsid w:val="00AE2AFE"/>
    <w:rsid w:val="00AE3C45"/>
    <w:rsid w:val="00AE7B93"/>
    <w:rsid w:val="00AF06D6"/>
    <w:rsid w:val="00AF0C61"/>
    <w:rsid w:val="00AF3693"/>
    <w:rsid w:val="00AF4379"/>
    <w:rsid w:val="00AF68CB"/>
    <w:rsid w:val="00B00295"/>
    <w:rsid w:val="00B01580"/>
    <w:rsid w:val="00B04D1F"/>
    <w:rsid w:val="00B05F7D"/>
    <w:rsid w:val="00B0781B"/>
    <w:rsid w:val="00B07BF1"/>
    <w:rsid w:val="00B12814"/>
    <w:rsid w:val="00B12C1F"/>
    <w:rsid w:val="00B13313"/>
    <w:rsid w:val="00B138A3"/>
    <w:rsid w:val="00B15625"/>
    <w:rsid w:val="00B20AC0"/>
    <w:rsid w:val="00B226EB"/>
    <w:rsid w:val="00B22805"/>
    <w:rsid w:val="00B264DC"/>
    <w:rsid w:val="00B26D7C"/>
    <w:rsid w:val="00B317C9"/>
    <w:rsid w:val="00B33722"/>
    <w:rsid w:val="00B33E58"/>
    <w:rsid w:val="00B33F78"/>
    <w:rsid w:val="00B35E3C"/>
    <w:rsid w:val="00B40493"/>
    <w:rsid w:val="00B4335F"/>
    <w:rsid w:val="00B43F1B"/>
    <w:rsid w:val="00B456B9"/>
    <w:rsid w:val="00B45C11"/>
    <w:rsid w:val="00B45DD5"/>
    <w:rsid w:val="00B46350"/>
    <w:rsid w:val="00B50D52"/>
    <w:rsid w:val="00B529B8"/>
    <w:rsid w:val="00B53779"/>
    <w:rsid w:val="00B54D6D"/>
    <w:rsid w:val="00B602D0"/>
    <w:rsid w:val="00B603E5"/>
    <w:rsid w:val="00B606CB"/>
    <w:rsid w:val="00B632C5"/>
    <w:rsid w:val="00B638B4"/>
    <w:rsid w:val="00B6454F"/>
    <w:rsid w:val="00B734B3"/>
    <w:rsid w:val="00B74A5D"/>
    <w:rsid w:val="00B75172"/>
    <w:rsid w:val="00B758F3"/>
    <w:rsid w:val="00B76D5F"/>
    <w:rsid w:val="00B8132B"/>
    <w:rsid w:val="00B832AE"/>
    <w:rsid w:val="00B84026"/>
    <w:rsid w:val="00B8469C"/>
    <w:rsid w:val="00B86228"/>
    <w:rsid w:val="00B86800"/>
    <w:rsid w:val="00B87523"/>
    <w:rsid w:val="00B90736"/>
    <w:rsid w:val="00B9342E"/>
    <w:rsid w:val="00B937D0"/>
    <w:rsid w:val="00B94D47"/>
    <w:rsid w:val="00B97097"/>
    <w:rsid w:val="00BA0A73"/>
    <w:rsid w:val="00BA1F8E"/>
    <w:rsid w:val="00BA231A"/>
    <w:rsid w:val="00BA3B59"/>
    <w:rsid w:val="00BA5C16"/>
    <w:rsid w:val="00BB2F70"/>
    <w:rsid w:val="00BB3171"/>
    <w:rsid w:val="00BB38D1"/>
    <w:rsid w:val="00BB551F"/>
    <w:rsid w:val="00BB6697"/>
    <w:rsid w:val="00BB676A"/>
    <w:rsid w:val="00BC0C7E"/>
    <w:rsid w:val="00BC213E"/>
    <w:rsid w:val="00BC2E96"/>
    <w:rsid w:val="00BC5817"/>
    <w:rsid w:val="00BC6F4C"/>
    <w:rsid w:val="00BD311D"/>
    <w:rsid w:val="00BD3905"/>
    <w:rsid w:val="00BD611E"/>
    <w:rsid w:val="00BD7355"/>
    <w:rsid w:val="00BE412A"/>
    <w:rsid w:val="00BE438C"/>
    <w:rsid w:val="00BE629A"/>
    <w:rsid w:val="00BF0A50"/>
    <w:rsid w:val="00BF1829"/>
    <w:rsid w:val="00BF1D13"/>
    <w:rsid w:val="00BF1D2D"/>
    <w:rsid w:val="00BF313C"/>
    <w:rsid w:val="00BF4C6A"/>
    <w:rsid w:val="00BF6E5A"/>
    <w:rsid w:val="00BF7099"/>
    <w:rsid w:val="00BF73C0"/>
    <w:rsid w:val="00BF7448"/>
    <w:rsid w:val="00C009EA"/>
    <w:rsid w:val="00C00AAB"/>
    <w:rsid w:val="00C018AF"/>
    <w:rsid w:val="00C0281B"/>
    <w:rsid w:val="00C03955"/>
    <w:rsid w:val="00C06854"/>
    <w:rsid w:val="00C07369"/>
    <w:rsid w:val="00C10D43"/>
    <w:rsid w:val="00C13D08"/>
    <w:rsid w:val="00C13F1F"/>
    <w:rsid w:val="00C1411B"/>
    <w:rsid w:val="00C14EB9"/>
    <w:rsid w:val="00C163E1"/>
    <w:rsid w:val="00C17E98"/>
    <w:rsid w:val="00C208C8"/>
    <w:rsid w:val="00C210A7"/>
    <w:rsid w:val="00C220B7"/>
    <w:rsid w:val="00C248A4"/>
    <w:rsid w:val="00C25E87"/>
    <w:rsid w:val="00C2657F"/>
    <w:rsid w:val="00C27267"/>
    <w:rsid w:val="00C30BDD"/>
    <w:rsid w:val="00C323E7"/>
    <w:rsid w:val="00C32859"/>
    <w:rsid w:val="00C34AC6"/>
    <w:rsid w:val="00C37B91"/>
    <w:rsid w:val="00C405CE"/>
    <w:rsid w:val="00C41B10"/>
    <w:rsid w:val="00C42575"/>
    <w:rsid w:val="00C43C11"/>
    <w:rsid w:val="00C43F9A"/>
    <w:rsid w:val="00C44F5D"/>
    <w:rsid w:val="00C47A55"/>
    <w:rsid w:val="00C504E8"/>
    <w:rsid w:val="00C51947"/>
    <w:rsid w:val="00C51F63"/>
    <w:rsid w:val="00C545F0"/>
    <w:rsid w:val="00C54806"/>
    <w:rsid w:val="00C55857"/>
    <w:rsid w:val="00C55FD4"/>
    <w:rsid w:val="00C56BB9"/>
    <w:rsid w:val="00C60889"/>
    <w:rsid w:val="00C62F72"/>
    <w:rsid w:val="00C633AE"/>
    <w:rsid w:val="00C663DB"/>
    <w:rsid w:val="00C669A7"/>
    <w:rsid w:val="00C67439"/>
    <w:rsid w:val="00C674AE"/>
    <w:rsid w:val="00C714DC"/>
    <w:rsid w:val="00C77CA0"/>
    <w:rsid w:val="00C808DC"/>
    <w:rsid w:val="00C818B2"/>
    <w:rsid w:val="00C81AC0"/>
    <w:rsid w:val="00C85D55"/>
    <w:rsid w:val="00C866A8"/>
    <w:rsid w:val="00C91EF7"/>
    <w:rsid w:val="00C92BF4"/>
    <w:rsid w:val="00C92E12"/>
    <w:rsid w:val="00C95345"/>
    <w:rsid w:val="00C964EB"/>
    <w:rsid w:val="00C9763C"/>
    <w:rsid w:val="00CA111A"/>
    <w:rsid w:val="00CA16C0"/>
    <w:rsid w:val="00CA5D27"/>
    <w:rsid w:val="00CA7690"/>
    <w:rsid w:val="00CB72EA"/>
    <w:rsid w:val="00CB79D4"/>
    <w:rsid w:val="00CB7F67"/>
    <w:rsid w:val="00CC01EA"/>
    <w:rsid w:val="00CC3E34"/>
    <w:rsid w:val="00CC3F45"/>
    <w:rsid w:val="00CC50D3"/>
    <w:rsid w:val="00CC5BD6"/>
    <w:rsid w:val="00CC70DD"/>
    <w:rsid w:val="00CD053E"/>
    <w:rsid w:val="00CD142B"/>
    <w:rsid w:val="00CD4753"/>
    <w:rsid w:val="00CD4DEB"/>
    <w:rsid w:val="00CD4F93"/>
    <w:rsid w:val="00CE2139"/>
    <w:rsid w:val="00CE4C4C"/>
    <w:rsid w:val="00CE53F8"/>
    <w:rsid w:val="00CE6CE8"/>
    <w:rsid w:val="00CF404E"/>
    <w:rsid w:val="00CF649E"/>
    <w:rsid w:val="00CF65C4"/>
    <w:rsid w:val="00CF6894"/>
    <w:rsid w:val="00CF7572"/>
    <w:rsid w:val="00CF7636"/>
    <w:rsid w:val="00CF7B6E"/>
    <w:rsid w:val="00D048D9"/>
    <w:rsid w:val="00D049C9"/>
    <w:rsid w:val="00D06E46"/>
    <w:rsid w:val="00D10D19"/>
    <w:rsid w:val="00D1205A"/>
    <w:rsid w:val="00D16C07"/>
    <w:rsid w:val="00D17610"/>
    <w:rsid w:val="00D206B6"/>
    <w:rsid w:val="00D20E6D"/>
    <w:rsid w:val="00D252C0"/>
    <w:rsid w:val="00D26272"/>
    <w:rsid w:val="00D26851"/>
    <w:rsid w:val="00D309E5"/>
    <w:rsid w:val="00D30D93"/>
    <w:rsid w:val="00D32CA0"/>
    <w:rsid w:val="00D33554"/>
    <w:rsid w:val="00D33B34"/>
    <w:rsid w:val="00D36118"/>
    <w:rsid w:val="00D37B95"/>
    <w:rsid w:val="00D40545"/>
    <w:rsid w:val="00D40D27"/>
    <w:rsid w:val="00D42B9E"/>
    <w:rsid w:val="00D432B7"/>
    <w:rsid w:val="00D432ED"/>
    <w:rsid w:val="00D43570"/>
    <w:rsid w:val="00D43E26"/>
    <w:rsid w:val="00D45185"/>
    <w:rsid w:val="00D4560E"/>
    <w:rsid w:val="00D461D5"/>
    <w:rsid w:val="00D465F9"/>
    <w:rsid w:val="00D46963"/>
    <w:rsid w:val="00D512A1"/>
    <w:rsid w:val="00D51DFC"/>
    <w:rsid w:val="00D52BCF"/>
    <w:rsid w:val="00D5305F"/>
    <w:rsid w:val="00D53B6D"/>
    <w:rsid w:val="00D56EF9"/>
    <w:rsid w:val="00D57814"/>
    <w:rsid w:val="00D57A9E"/>
    <w:rsid w:val="00D57F40"/>
    <w:rsid w:val="00D61FBA"/>
    <w:rsid w:val="00D626FD"/>
    <w:rsid w:val="00D64988"/>
    <w:rsid w:val="00D732E8"/>
    <w:rsid w:val="00D73D27"/>
    <w:rsid w:val="00D754D5"/>
    <w:rsid w:val="00D760B7"/>
    <w:rsid w:val="00D77137"/>
    <w:rsid w:val="00D77941"/>
    <w:rsid w:val="00D77D18"/>
    <w:rsid w:val="00D80BD4"/>
    <w:rsid w:val="00D81AAA"/>
    <w:rsid w:val="00D8269C"/>
    <w:rsid w:val="00D834CC"/>
    <w:rsid w:val="00D85DC3"/>
    <w:rsid w:val="00D8775E"/>
    <w:rsid w:val="00D90024"/>
    <w:rsid w:val="00D9020C"/>
    <w:rsid w:val="00D94C46"/>
    <w:rsid w:val="00D95F9B"/>
    <w:rsid w:val="00D97932"/>
    <w:rsid w:val="00DA13A4"/>
    <w:rsid w:val="00DA27BD"/>
    <w:rsid w:val="00DA4C0A"/>
    <w:rsid w:val="00DA52E7"/>
    <w:rsid w:val="00DB06D2"/>
    <w:rsid w:val="00DB076F"/>
    <w:rsid w:val="00DB2344"/>
    <w:rsid w:val="00DB2485"/>
    <w:rsid w:val="00DB52DF"/>
    <w:rsid w:val="00DB79DE"/>
    <w:rsid w:val="00DC0093"/>
    <w:rsid w:val="00DC00C0"/>
    <w:rsid w:val="00DC1651"/>
    <w:rsid w:val="00DC37B6"/>
    <w:rsid w:val="00DC3BEE"/>
    <w:rsid w:val="00DC431B"/>
    <w:rsid w:val="00DC62C8"/>
    <w:rsid w:val="00DC6894"/>
    <w:rsid w:val="00DC7DBF"/>
    <w:rsid w:val="00DD1807"/>
    <w:rsid w:val="00DD1C4B"/>
    <w:rsid w:val="00DE03E0"/>
    <w:rsid w:val="00DE258E"/>
    <w:rsid w:val="00DE263A"/>
    <w:rsid w:val="00DE4649"/>
    <w:rsid w:val="00DF059A"/>
    <w:rsid w:val="00DF2B2D"/>
    <w:rsid w:val="00DF2CB3"/>
    <w:rsid w:val="00DF4B8A"/>
    <w:rsid w:val="00DF5917"/>
    <w:rsid w:val="00DF61E5"/>
    <w:rsid w:val="00DF689D"/>
    <w:rsid w:val="00DF7E47"/>
    <w:rsid w:val="00E00DDB"/>
    <w:rsid w:val="00E01DF6"/>
    <w:rsid w:val="00E02BD7"/>
    <w:rsid w:val="00E03F55"/>
    <w:rsid w:val="00E05949"/>
    <w:rsid w:val="00E063D7"/>
    <w:rsid w:val="00E1072B"/>
    <w:rsid w:val="00E1273A"/>
    <w:rsid w:val="00E137B7"/>
    <w:rsid w:val="00E15EB0"/>
    <w:rsid w:val="00E16A16"/>
    <w:rsid w:val="00E1767A"/>
    <w:rsid w:val="00E21515"/>
    <w:rsid w:val="00E2258B"/>
    <w:rsid w:val="00E22C77"/>
    <w:rsid w:val="00E231DD"/>
    <w:rsid w:val="00E260CB"/>
    <w:rsid w:val="00E2781B"/>
    <w:rsid w:val="00E34A6F"/>
    <w:rsid w:val="00E34B74"/>
    <w:rsid w:val="00E37A68"/>
    <w:rsid w:val="00E420E9"/>
    <w:rsid w:val="00E441C1"/>
    <w:rsid w:val="00E44CA8"/>
    <w:rsid w:val="00E468B2"/>
    <w:rsid w:val="00E46C81"/>
    <w:rsid w:val="00E47B0B"/>
    <w:rsid w:val="00E52D34"/>
    <w:rsid w:val="00E5333F"/>
    <w:rsid w:val="00E54B43"/>
    <w:rsid w:val="00E551A6"/>
    <w:rsid w:val="00E557CC"/>
    <w:rsid w:val="00E557EF"/>
    <w:rsid w:val="00E56113"/>
    <w:rsid w:val="00E56387"/>
    <w:rsid w:val="00E577FD"/>
    <w:rsid w:val="00E6036B"/>
    <w:rsid w:val="00E6187D"/>
    <w:rsid w:val="00E634C7"/>
    <w:rsid w:val="00E6352D"/>
    <w:rsid w:val="00E64BEE"/>
    <w:rsid w:val="00E65EB5"/>
    <w:rsid w:val="00E67EEB"/>
    <w:rsid w:val="00E70BF5"/>
    <w:rsid w:val="00E73FC1"/>
    <w:rsid w:val="00E75464"/>
    <w:rsid w:val="00E756AD"/>
    <w:rsid w:val="00E75911"/>
    <w:rsid w:val="00E76F8A"/>
    <w:rsid w:val="00E80660"/>
    <w:rsid w:val="00E812FA"/>
    <w:rsid w:val="00E821ED"/>
    <w:rsid w:val="00E82294"/>
    <w:rsid w:val="00E836D4"/>
    <w:rsid w:val="00E851E3"/>
    <w:rsid w:val="00E857B0"/>
    <w:rsid w:val="00E8581E"/>
    <w:rsid w:val="00E9155A"/>
    <w:rsid w:val="00E91630"/>
    <w:rsid w:val="00E92FF5"/>
    <w:rsid w:val="00E931B4"/>
    <w:rsid w:val="00E93A22"/>
    <w:rsid w:val="00E9420E"/>
    <w:rsid w:val="00E9439C"/>
    <w:rsid w:val="00E94CF6"/>
    <w:rsid w:val="00EA5B71"/>
    <w:rsid w:val="00EA6A44"/>
    <w:rsid w:val="00EA7038"/>
    <w:rsid w:val="00EB1182"/>
    <w:rsid w:val="00EB23E8"/>
    <w:rsid w:val="00EB2F92"/>
    <w:rsid w:val="00EB4DEF"/>
    <w:rsid w:val="00EB6321"/>
    <w:rsid w:val="00EC3DE5"/>
    <w:rsid w:val="00EC3FBF"/>
    <w:rsid w:val="00EC534A"/>
    <w:rsid w:val="00EC56F9"/>
    <w:rsid w:val="00EC570A"/>
    <w:rsid w:val="00ED1EDC"/>
    <w:rsid w:val="00ED2A0D"/>
    <w:rsid w:val="00ED36BB"/>
    <w:rsid w:val="00ED5B8F"/>
    <w:rsid w:val="00ED6665"/>
    <w:rsid w:val="00EE0F84"/>
    <w:rsid w:val="00EE0FEB"/>
    <w:rsid w:val="00EE22B8"/>
    <w:rsid w:val="00EE6199"/>
    <w:rsid w:val="00EF16C6"/>
    <w:rsid w:val="00EF60BF"/>
    <w:rsid w:val="00EF6770"/>
    <w:rsid w:val="00EF7191"/>
    <w:rsid w:val="00EF744D"/>
    <w:rsid w:val="00EF7F24"/>
    <w:rsid w:val="00F05A3D"/>
    <w:rsid w:val="00F12887"/>
    <w:rsid w:val="00F13653"/>
    <w:rsid w:val="00F136CD"/>
    <w:rsid w:val="00F1573B"/>
    <w:rsid w:val="00F20A2F"/>
    <w:rsid w:val="00F21080"/>
    <w:rsid w:val="00F2249F"/>
    <w:rsid w:val="00F22A5B"/>
    <w:rsid w:val="00F231D9"/>
    <w:rsid w:val="00F2370C"/>
    <w:rsid w:val="00F2379B"/>
    <w:rsid w:val="00F2411F"/>
    <w:rsid w:val="00F24215"/>
    <w:rsid w:val="00F2442A"/>
    <w:rsid w:val="00F2554C"/>
    <w:rsid w:val="00F30057"/>
    <w:rsid w:val="00F3048E"/>
    <w:rsid w:val="00F32195"/>
    <w:rsid w:val="00F349B1"/>
    <w:rsid w:val="00F37026"/>
    <w:rsid w:val="00F4080A"/>
    <w:rsid w:val="00F40896"/>
    <w:rsid w:val="00F430E9"/>
    <w:rsid w:val="00F44FCF"/>
    <w:rsid w:val="00F46714"/>
    <w:rsid w:val="00F471D3"/>
    <w:rsid w:val="00F506C3"/>
    <w:rsid w:val="00F524FF"/>
    <w:rsid w:val="00F5277E"/>
    <w:rsid w:val="00F57203"/>
    <w:rsid w:val="00F5774E"/>
    <w:rsid w:val="00F60545"/>
    <w:rsid w:val="00F6088A"/>
    <w:rsid w:val="00F61A81"/>
    <w:rsid w:val="00F6204B"/>
    <w:rsid w:val="00F62C5C"/>
    <w:rsid w:val="00F62E70"/>
    <w:rsid w:val="00F649CD"/>
    <w:rsid w:val="00F65DC8"/>
    <w:rsid w:val="00F66B72"/>
    <w:rsid w:val="00F679E3"/>
    <w:rsid w:val="00F70D07"/>
    <w:rsid w:val="00F71D86"/>
    <w:rsid w:val="00F72DCA"/>
    <w:rsid w:val="00F75A36"/>
    <w:rsid w:val="00F76A77"/>
    <w:rsid w:val="00F81A92"/>
    <w:rsid w:val="00F855C6"/>
    <w:rsid w:val="00F86256"/>
    <w:rsid w:val="00F87EBA"/>
    <w:rsid w:val="00F900BF"/>
    <w:rsid w:val="00F9017F"/>
    <w:rsid w:val="00F9072D"/>
    <w:rsid w:val="00F9235E"/>
    <w:rsid w:val="00F930AB"/>
    <w:rsid w:val="00F95B58"/>
    <w:rsid w:val="00F95B77"/>
    <w:rsid w:val="00FA159D"/>
    <w:rsid w:val="00FA22B4"/>
    <w:rsid w:val="00FA2EB6"/>
    <w:rsid w:val="00FA3D19"/>
    <w:rsid w:val="00FA52DE"/>
    <w:rsid w:val="00FA5DAC"/>
    <w:rsid w:val="00FB07C4"/>
    <w:rsid w:val="00FB120C"/>
    <w:rsid w:val="00FB4797"/>
    <w:rsid w:val="00FB5460"/>
    <w:rsid w:val="00FB5AFB"/>
    <w:rsid w:val="00FB7E7C"/>
    <w:rsid w:val="00FC01AE"/>
    <w:rsid w:val="00FC174D"/>
    <w:rsid w:val="00FC1BF3"/>
    <w:rsid w:val="00FC3C2C"/>
    <w:rsid w:val="00FC422F"/>
    <w:rsid w:val="00FC4A90"/>
    <w:rsid w:val="00FC5C17"/>
    <w:rsid w:val="00FC686C"/>
    <w:rsid w:val="00FD4D0F"/>
    <w:rsid w:val="00FD533B"/>
    <w:rsid w:val="00FD5A4D"/>
    <w:rsid w:val="00FD6FAF"/>
    <w:rsid w:val="00FE09F2"/>
    <w:rsid w:val="00FE2C27"/>
    <w:rsid w:val="00FE4A91"/>
    <w:rsid w:val="00FE5678"/>
    <w:rsid w:val="00FE5785"/>
    <w:rsid w:val="00FF0058"/>
    <w:rsid w:val="00FF0061"/>
    <w:rsid w:val="00FF0585"/>
    <w:rsid w:val="00FF4B7A"/>
    <w:rsid w:val="00FF4F35"/>
    <w:rsid w:val="00FF676B"/>
    <w:rsid w:val="00FF74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12F"/>
    <w:rPr>
      <w:rFonts w:ascii="Arial" w:hAnsi="Arial"/>
      <w:sz w:val="24"/>
      <w:lang w:val="es-ES_tradnl"/>
    </w:rPr>
  </w:style>
  <w:style w:type="paragraph" w:styleId="Ttulo1">
    <w:name w:val="heading 1"/>
    <w:basedOn w:val="Normal"/>
    <w:next w:val="Normal"/>
    <w:qFormat/>
    <w:rsid w:val="005115BB"/>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5115BB"/>
    <w:pPr>
      <w:keepNext/>
      <w:spacing w:before="240" w:after="60"/>
      <w:outlineLvl w:val="1"/>
    </w:pPr>
    <w:rPr>
      <w:rFonts w:cs="Arial"/>
      <w:b/>
      <w:bCs/>
      <w:i/>
      <w:iCs/>
      <w:sz w:val="28"/>
      <w:szCs w:val="28"/>
    </w:rPr>
  </w:style>
  <w:style w:type="paragraph" w:styleId="Ttulo3">
    <w:name w:val="heading 3"/>
    <w:basedOn w:val="Normal"/>
    <w:next w:val="Normal"/>
    <w:qFormat/>
    <w:rsid w:val="00DD1807"/>
    <w:pPr>
      <w:keepNext/>
      <w:spacing w:before="240" w:after="60"/>
      <w:outlineLvl w:val="2"/>
    </w:pPr>
    <w:rPr>
      <w:rFonts w:cs="Arial"/>
      <w:b/>
      <w:bCs/>
      <w:sz w:val="26"/>
      <w:szCs w:val="26"/>
    </w:rPr>
  </w:style>
  <w:style w:type="paragraph" w:styleId="Ttulo8">
    <w:name w:val="heading 8"/>
    <w:basedOn w:val="Normal"/>
    <w:next w:val="Normal"/>
    <w:qFormat/>
    <w:rsid w:val="00E8581E"/>
    <w:pPr>
      <w:keepNext/>
      <w:outlineLvl w:val="7"/>
    </w:pPr>
    <w:rPr>
      <w:b/>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aliases w:val=" Car Car Car Car Car Car Car Car Car Car"/>
    <w:basedOn w:val="Normal"/>
    <w:link w:val="SangradetextonormalCar"/>
    <w:rsid w:val="00E8581E"/>
    <w:pPr>
      <w:ind w:left="708" w:hanging="708"/>
    </w:pPr>
  </w:style>
  <w:style w:type="paragraph" w:styleId="Piedepgina">
    <w:name w:val="footer"/>
    <w:basedOn w:val="Normal"/>
    <w:rsid w:val="00E8581E"/>
    <w:pPr>
      <w:tabs>
        <w:tab w:val="center" w:pos="4252"/>
        <w:tab w:val="right" w:pos="8504"/>
      </w:tabs>
    </w:pPr>
  </w:style>
  <w:style w:type="character" w:styleId="Nmerodepgina">
    <w:name w:val="page number"/>
    <w:basedOn w:val="Fuentedeprrafopredeter"/>
    <w:rsid w:val="00E8581E"/>
  </w:style>
  <w:style w:type="paragraph" w:styleId="Sangra2detindependiente">
    <w:name w:val="Body Text Indent 2"/>
    <w:basedOn w:val="Normal"/>
    <w:rsid w:val="00E8581E"/>
    <w:pPr>
      <w:ind w:left="708"/>
    </w:pPr>
  </w:style>
  <w:style w:type="paragraph" w:styleId="Encabezado">
    <w:name w:val="header"/>
    <w:basedOn w:val="Normal"/>
    <w:rsid w:val="00E8581E"/>
    <w:pPr>
      <w:tabs>
        <w:tab w:val="center" w:pos="4252"/>
        <w:tab w:val="right" w:pos="8504"/>
      </w:tabs>
    </w:pPr>
  </w:style>
  <w:style w:type="paragraph" w:styleId="Sangra3detindependiente">
    <w:name w:val="Body Text Indent 3"/>
    <w:basedOn w:val="Normal"/>
    <w:rsid w:val="00E8581E"/>
    <w:pPr>
      <w:ind w:left="709"/>
      <w:jc w:val="both"/>
    </w:pPr>
  </w:style>
  <w:style w:type="paragraph" w:styleId="Textoindependiente">
    <w:name w:val="Body Text"/>
    <w:basedOn w:val="Normal"/>
    <w:rsid w:val="00E8581E"/>
    <w:rPr>
      <w:b/>
      <w:sz w:val="40"/>
    </w:rPr>
  </w:style>
  <w:style w:type="paragraph" w:styleId="Textoindependiente3">
    <w:name w:val="Body Text 3"/>
    <w:basedOn w:val="Normal"/>
    <w:rsid w:val="00E8581E"/>
    <w:rPr>
      <w:sz w:val="44"/>
      <w:lang w:val="es-ES"/>
    </w:rPr>
  </w:style>
  <w:style w:type="paragraph" w:styleId="Saludo">
    <w:name w:val="Salutation"/>
    <w:basedOn w:val="Normal"/>
    <w:next w:val="Normal"/>
    <w:rsid w:val="00E8581E"/>
    <w:pPr>
      <w:spacing w:before="220" w:after="220"/>
      <w:ind w:left="835" w:right="-360"/>
    </w:pPr>
    <w:rPr>
      <w:rFonts w:ascii="Times New Roman" w:hAnsi="Times New Roman"/>
      <w:sz w:val="20"/>
      <w:lang w:val="es-ES"/>
    </w:rPr>
  </w:style>
  <w:style w:type="paragraph" w:customStyle="1" w:styleId="Cuerpo2">
    <w:name w:val="Cuerpo2"/>
    <w:basedOn w:val="Normal"/>
    <w:rsid w:val="00E8581E"/>
    <w:pPr>
      <w:ind w:left="340"/>
    </w:pPr>
    <w:rPr>
      <w:rFonts w:ascii="RotisSansSerif" w:hAnsi="RotisSansSerif"/>
    </w:rPr>
  </w:style>
  <w:style w:type="paragraph" w:styleId="Textodeglobo">
    <w:name w:val="Balloon Text"/>
    <w:basedOn w:val="Normal"/>
    <w:semiHidden/>
    <w:rsid w:val="00E8581E"/>
    <w:rPr>
      <w:rFonts w:ascii="Tahoma" w:hAnsi="Tahoma" w:cs="Tahoma"/>
      <w:sz w:val="16"/>
      <w:szCs w:val="16"/>
    </w:rPr>
  </w:style>
  <w:style w:type="paragraph" w:styleId="Subttulo">
    <w:name w:val="Subtitle"/>
    <w:basedOn w:val="Normal"/>
    <w:qFormat/>
    <w:rsid w:val="002A3690"/>
    <w:pPr>
      <w:spacing w:after="60"/>
      <w:jc w:val="center"/>
      <w:outlineLvl w:val="1"/>
    </w:pPr>
    <w:rPr>
      <w:lang w:val="es-ES"/>
    </w:rPr>
  </w:style>
  <w:style w:type="paragraph" w:styleId="Mapadeldocumento">
    <w:name w:val="Document Map"/>
    <w:basedOn w:val="Normal"/>
    <w:semiHidden/>
    <w:rsid w:val="00FD5A4D"/>
    <w:pPr>
      <w:shd w:val="clear" w:color="auto" w:fill="000080"/>
    </w:pPr>
    <w:rPr>
      <w:rFonts w:ascii="Tahoma" w:hAnsi="Tahoma" w:cs="Tahoma"/>
    </w:rPr>
  </w:style>
  <w:style w:type="paragraph" w:styleId="Listaconvietas">
    <w:name w:val="List Bullet"/>
    <w:basedOn w:val="Normal"/>
    <w:rsid w:val="00E551A6"/>
    <w:pPr>
      <w:numPr>
        <w:numId w:val="2"/>
      </w:numPr>
    </w:pPr>
    <w:rPr>
      <w:rFonts w:ascii="Times New Roman" w:hAnsi="Times New Roman"/>
      <w:szCs w:val="24"/>
      <w:lang w:val="es-ES"/>
    </w:rPr>
  </w:style>
  <w:style w:type="paragraph" w:styleId="Textoindependiente2">
    <w:name w:val="Body Text 2"/>
    <w:basedOn w:val="Normal"/>
    <w:rsid w:val="002C4702"/>
    <w:pPr>
      <w:spacing w:after="120" w:line="480" w:lineRule="auto"/>
    </w:pPr>
    <w:rPr>
      <w:lang w:val="es-ES"/>
    </w:rPr>
  </w:style>
  <w:style w:type="paragraph" w:styleId="TDC1">
    <w:name w:val="toc 1"/>
    <w:basedOn w:val="Normal"/>
    <w:next w:val="Normal"/>
    <w:autoRedefine/>
    <w:uiPriority w:val="39"/>
    <w:rsid w:val="00CB72EA"/>
    <w:pPr>
      <w:tabs>
        <w:tab w:val="left" w:pos="480"/>
        <w:tab w:val="right" w:leader="dot" w:pos="9060"/>
      </w:tabs>
      <w:spacing w:before="240"/>
      <w:ind w:left="482" w:hanging="482"/>
    </w:pPr>
    <w:rPr>
      <w:b/>
      <w:noProof/>
      <w:color w:val="016FB8"/>
    </w:rPr>
  </w:style>
  <w:style w:type="paragraph" w:styleId="TDC2">
    <w:name w:val="toc 2"/>
    <w:basedOn w:val="Normal"/>
    <w:next w:val="Normal"/>
    <w:autoRedefine/>
    <w:uiPriority w:val="39"/>
    <w:rsid w:val="00F2554C"/>
    <w:pPr>
      <w:tabs>
        <w:tab w:val="left" w:pos="720"/>
        <w:tab w:val="right" w:leader="dot" w:pos="9060"/>
      </w:tabs>
      <w:spacing w:before="120"/>
      <w:ind w:left="357" w:hanging="357"/>
      <w:jc w:val="both"/>
    </w:pPr>
  </w:style>
  <w:style w:type="character" w:styleId="Hipervnculo">
    <w:name w:val="Hyperlink"/>
    <w:uiPriority w:val="99"/>
    <w:rsid w:val="007D02B8"/>
    <w:rPr>
      <w:color w:val="0000FF"/>
      <w:u w:val="single"/>
    </w:rPr>
  </w:style>
  <w:style w:type="character" w:customStyle="1" w:styleId="SangradetextonormalCar">
    <w:name w:val="Sangría de texto normal Car"/>
    <w:aliases w:val=" Car Car Car Car Car Car Car Car Car Car Car"/>
    <w:link w:val="Sangradetextonormal"/>
    <w:rsid w:val="00DD1807"/>
    <w:rPr>
      <w:rFonts w:ascii="Arial" w:hAnsi="Arial"/>
      <w:sz w:val="24"/>
      <w:lang w:val="es-ES_tradnl" w:eastAsia="es-ES" w:bidi="ar-SA"/>
    </w:rPr>
  </w:style>
  <w:style w:type="paragraph" w:styleId="TDC3">
    <w:name w:val="toc 3"/>
    <w:basedOn w:val="Normal"/>
    <w:next w:val="Normal"/>
    <w:autoRedefine/>
    <w:uiPriority w:val="39"/>
    <w:rsid w:val="00750EB7"/>
    <w:pPr>
      <w:tabs>
        <w:tab w:val="left" w:pos="1100"/>
        <w:tab w:val="right" w:leader="dot" w:pos="9060"/>
      </w:tabs>
      <w:spacing w:before="120"/>
      <w:ind w:left="482"/>
    </w:pPr>
  </w:style>
  <w:style w:type="character" w:styleId="Textoennegrita">
    <w:name w:val="Strong"/>
    <w:qFormat/>
    <w:rsid w:val="00E857B0"/>
    <w:rPr>
      <w:b/>
      <w:bCs/>
    </w:rPr>
  </w:style>
  <w:style w:type="paragraph" w:customStyle="1" w:styleId="EstiloTtulo212ptSinCursivaColorpersonalizadoRGB0">
    <w:name w:val="Estilo Título 2 + 12 pt Sin Cursiva Color personalizado(RGB(0"/>
    <w:aliases w:val="92,8..."/>
    <w:basedOn w:val="Ttulo2"/>
    <w:rsid w:val="00270B1E"/>
    <w:pPr>
      <w:spacing w:before="0" w:after="0"/>
    </w:pPr>
    <w:rPr>
      <w:rFonts w:cs="Times New Roman"/>
      <w:i w:val="0"/>
      <w:iCs w:val="0"/>
      <w:color w:val="005C54"/>
      <w:sz w:val="24"/>
      <w:szCs w:val="20"/>
      <w:u w:val="single"/>
    </w:rPr>
  </w:style>
  <w:style w:type="table" w:styleId="Tablaconcuadrcula">
    <w:name w:val="Table Grid"/>
    <w:basedOn w:val="Tablanormal"/>
    <w:rsid w:val="006231AF"/>
    <w:pPr>
      <w:autoSpaceDE w:val="0"/>
      <w:autoSpaceDN w:val="0"/>
      <w:adjustRightInd w:val="0"/>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067A11"/>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link w:val="TextonotapieCar"/>
    <w:rsid w:val="00362C2F"/>
    <w:rPr>
      <w:rFonts w:ascii="Times New Roman" w:hAnsi="Times New Roman"/>
      <w:sz w:val="20"/>
      <w:lang w:val="es-ES"/>
    </w:rPr>
  </w:style>
  <w:style w:type="character" w:customStyle="1" w:styleId="TextonotapieCar">
    <w:name w:val="Texto nota pie Car"/>
    <w:link w:val="Textonotapie"/>
    <w:rsid w:val="00362C2F"/>
    <w:rPr>
      <w:lang w:val="es-ES" w:eastAsia="es-ES" w:bidi="ar-SA"/>
    </w:rPr>
  </w:style>
  <w:style w:type="character" w:styleId="Refdenotaalpie">
    <w:name w:val="footnote reference"/>
    <w:rsid w:val="00362C2F"/>
    <w:rPr>
      <w:vertAlign w:val="superscript"/>
    </w:rPr>
  </w:style>
  <w:style w:type="paragraph" w:styleId="Prrafodelista">
    <w:name w:val="List Paragraph"/>
    <w:basedOn w:val="Normal"/>
    <w:uiPriority w:val="34"/>
    <w:qFormat/>
    <w:rsid w:val="0095383E"/>
    <w:pPr>
      <w:ind w:left="708"/>
    </w:pPr>
    <w:rPr>
      <w:lang w:val="es-ES"/>
    </w:rPr>
  </w:style>
  <w:style w:type="character" w:customStyle="1" w:styleId="pdelrio">
    <w:name w:val="pdelrio"/>
    <w:semiHidden/>
    <w:rsid w:val="00161D7C"/>
    <w:rPr>
      <w:rFonts w:ascii="Arial" w:hAnsi="Arial" w:cs="Arial"/>
      <w:color w:val="000080"/>
      <w:sz w:val="20"/>
      <w:szCs w:val="20"/>
    </w:rPr>
  </w:style>
  <w:style w:type="paragraph" w:customStyle="1" w:styleId="Body1">
    <w:name w:val="Body 1"/>
    <w:uiPriority w:val="99"/>
    <w:rsid w:val="00221C41"/>
    <w:pPr>
      <w:spacing w:after="200" w:line="276" w:lineRule="auto"/>
      <w:outlineLvl w:val="0"/>
    </w:pPr>
    <w:rPr>
      <w:rFonts w:ascii="Helvetica" w:eastAsia="Arial Unicode MS" w:hAnsi="Helvetica"/>
      <w:color w:val="000000"/>
      <w:sz w:val="22"/>
      <w:u w:color="000000"/>
      <w:lang w:val="es-ES_tradnl" w:eastAsia="en-US"/>
    </w:rPr>
  </w:style>
  <w:style w:type="character" w:customStyle="1" w:styleId="Ttulo2Car">
    <w:name w:val="Título 2 Car"/>
    <w:basedOn w:val="Fuentedeprrafopredeter"/>
    <w:link w:val="Ttulo2"/>
    <w:rsid w:val="00221C41"/>
    <w:rPr>
      <w:rFonts w:ascii="Arial" w:hAnsi="Arial" w:cs="Arial"/>
      <w:b/>
      <w:bCs/>
      <w:i/>
      <w:iCs/>
      <w:sz w:val="28"/>
      <w:szCs w:val="28"/>
      <w:lang w:val="es-ES_tradnl"/>
    </w:rPr>
  </w:style>
  <w:style w:type="character" w:customStyle="1" w:styleId="focusparagraph">
    <w:name w:val="focusparagraph"/>
    <w:basedOn w:val="Fuentedeprrafopredeter"/>
    <w:rsid w:val="00AD25DC"/>
  </w:style>
  <w:style w:type="paragraph" w:customStyle="1" w:styleId="Default">
    <w:name w:val="Default"/>
    <w:rsid w:val="00AD25DC"/>
    <w:pPr>
      <w:autoSpaceDE w:val="0"/>
      <w:autoSpaceDN w:val="0"/>
      <w:adjustRightInd w:val="0"/>
    </w:pPr>
    <w:rPr>
      <w:rFonts w:ascii="BBVA Office Book" w:eastAsia="Calibri" w:hAnsi="BBVA Office Book" w:cs="BBVA Office Book"/>
      <w:color w:val="000000"/>
      <w:sz w:val="24"/>
      <w:szCs w:val="24"/>
      <w:lang w:eastAsia="en-US"/>
    </w:rPr>
  </w:style>
  <w:style w:type="character" w:customStyle="1" w:styleId="ecxfocusparagraph">
    <w:name w:val="ecxfocusparagraph"/>
    <w:basedOn w:val="Fuentedeprrafopredeter"/>
    <w:rsid w:val="00B94D47"/>
  </w:style>
  <w:style w:type="paragraph" w:customStyle="1" w:styleId="letra">
    <w:name w:val="letra"/>
    <w:basedOn w:val="Normal"/>
    <w:rsid w:val="00E634C7"/>
    <w:pPr>
      <w:spacing w:before="100" w:beforeAutospacing="1" w:after="100" w:afterAutospacing="1"/>
    </w:pPr>
    <w:rPr>
      <w:rFonts w:cs="Arial"/>
      <w:sz w:val="20"/>
      <w:lang w:val="es-ES"/>
    </w:rPr>
  </w:style>
  <w:style w:type="numbering" w:customStyle="1" w:styleId="List1">
    <w:name w:val="List 1"/>
    <w:rsid w:val="00FE09F2"/>
    <w:pPr>
      <w:numPr>
        <w:numId w:val="18"/>
      </w:numPr>
    </w:pPr>
  </w:style>
  <w:style w:type="paragraph" w:customStyle="1" w:styleId="Prrafodelista2">
    <w:name w:val="Párrafo de lista2"/>
    <w:basedOn w:val="Normal"/>
    <w:rsid w:val="00364013"/>
    <w:pPr>
      <w:spacing w:after="200" w:line="276" w:lineRule="auto"/>
      <w:ind w:left="720"/>
      <w:contextualSpacing/>
    </w:pPr>
    <w:rPr>
      <w:rFonts w:ascii="Calibri" w:hAnsi="Calibri"/>
      <w:sz w:val="22"/>
      <w:szCs w:val="22"/>
      <w:lang w:val="es-ES" w:eastAsia="en-US"/>
    </w:rPr>
  </w:style>
  <w:style w:type="paragraph" w:styleId="TtulodeTDC">
    <w:name w:val="TOC Heading"/>
    <w:basedOn w:val="Ttulo1"/>
    <w:next w:val="Normal"/>
    <w:uiPriority w:val="39"/>
    <w:semiHidden/>
    <w:unhideWhenUsed/>
    <w:qFormat/>
    <w:rsid w:val="006B53B8"/>
    <w:pPr>
      <w:keepLines/>
      <w:spacing w:before="480" w:after="0"/>
      <w:outlineLvl w:val="9"/>
    </w:pPr>
    <w:rPr>
      <w:rFonts w:ascii="Franklin Gothic Book" w:hAnsi="Franklin Gothic Book" w:cs="Times New Roman"/>
      <w:color w:val="848057"/>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angradetextonormal">
    <w:name w:val="List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0346">
      <w:bodyDiv w:val="1"/>
      <w:marLeft w:val="0"/>
      <w:marRight w:val="0"/>
      <w:marTop w:val="0"/>
      <w:marBottom w:val="0"/>
      <w:divBdr>
        <w:top w:val="none" w:sz="0" w:space="0" w:color="auto"/>
        <w:left w:val="none" w:sz="0" w:space="0" w:color="auto"/>
        <w:bottom w:val="none" w:sz="0" w:space="0" w:color="auto"/>
        <w:right w:val="none" w:sz="0" w:space="0" w:color="auto"/>
      </w:divBdr>
    </w:div>
    <w:div w:id="225797642">
      <w:bodyDiv w:val="1"/>
      <w:marLeft w:val="0"/>
      <w:marRight w:val="0"/>
      <w:marTop w:val="0"/>
      <w:marBottom w:val="0"/>
      <w:divBdr>
        <w:top w:val="none" w:sz="0" w:space="0" w:color="auto"/>
        <w:left w:val="none" w:sz="0" w:space="0" w:color="auto"/>
        <w:bottom w:val="none" w:sz="0" w:space="0" w:color="auto"/>
        <w:right w:val="none" w:sz="0" w:space="0" w:color="auto"/>
      </w:divBdr>
    </w:div>
    <w:div w:id="259724208">
      <w:bodyDiv w:val="1"/>
      <w:marLeft w:val="0"/>
      <w:marRight w:val="0"/>
      <w:marTop w:val="0"/>
      <w:marBottom w:val="0"/>
      <w:divBdr>
        <w:top w:val="none" w:sz="0" w:space="0" w:color="auto"/>
        <w:left w:val="none" w:sz="0" w:space="0" w:color="auto"/>
        <w:bottom w:val="none" w:sz="0" w:space="0" w:color="auto"/>
        <w:right w:val="none" w:sz="0" w:space="0" w:color="auto"/>
      </w:divBdr>
    </w:div>
    <w:div w:id="366495565">
      <w:bodyDiv w:val="1"/>
      <w:marLeft w:val="0"/>
      <w:marRight w:val="0"/>
      <w:marTop w:val="0"/>
      <w:marBottom w:val="0"/>
      <w:divBdr>
        <w:top w:val="none" w:sz="0" w:space="0" w:color="auto"/>
        <w:left w:val="none" w:sz="0" w:space="0" w:color="auto"/>
        <w:bottom w:val="none" w:sz="0" w:space="0" w:color="auto"/>
        <w:right w:val="none" w:sz="0" w:space="0" w:color="auto"/>
      </w:divBdr>
    </w:div>
    <w:div w:id="402407658">
      <w:bodyDiv w:val="1"/>
      <w:marLeft w:val="0"/>
      <w:marRight w:val="0"/>
      <w:marTop w:val="0"/>
      <w:marBottom w:val="0"/>
      <w:divBdr>
        <w:top w:val="none" w:sz="0" w:space="0" w:color="auto"/>
        <w:left w:val="none" w:sz="0" w:space="0" w:color="auto"/>
        <w:bottom w:val="none" w:sz="0" w:space="0" w:color="auto"/>
        <w:right w:val="none" w:sz="0" w:space="0" w:color="auto"/>
      </w:divBdr>
    </w:div>
    <w:div w:id="480125132">
      <w:bodyDiv w:val="1"/>
      <w:marLeft w:val="0"/>
      <w:marRight w:val="0"/>
      <w:marTop w:val="0"/>
      <w:marBottom w:val="0"/>
      <w:divBdr>
        <w:top w:val="none" w:sz="0" w:space="0" w:color="auto"/>
        <w:left w:val="none" w:sz="0" w:space="0" w:color="auto"/>
        <w:bottom w:val="none" w:sz="0" w:space="0" w:color="auto"/>
        <w:right w:val="none" w:sz="0" w:space="0" w:color="auto"/>
      </w:divBdr>
    </w:div>
    <w:div w:id="486939639">
      <w:bodyDiv w:val="1"/>
      <w:marLeft w:val="0"/>
      <w:marRight w:val="0"/>
      <w:marTop w:val="0"/>
      <w:marBottom w:val="0"/>
      <w:divBdr>
        <w:top w:val="none" w:sz="0" w:space="0" w:color="auto"/>
        <w:left w:val="none" w:sz="0" w:space="0" w:color="auto"/>
        <w:bottom w:val="none" w:sz="0" w:space="0" w:color="auto"/>
        <w:right w:val="none" w:sz="0" w:space="0" w:color="auto"/>
      </w:divBdr>
    </w:div>
    <w:div w:id="510871653">
      <w:bodyDiv w:val="1"/>
      <w:marLeft w:val="0"/>
      <w:marRight w:val="0"/>
      <w:marTop w:val="0"/>
      <w:marBottom w:val="0"/>
      <w:divBdr>
        <w:top w:val="none" w:sz="0" w:space="0" w:color="auto"/>
        <w:left w:val="none" w:sz="0" w:space="0" w:color="auto"/>
        <w:bottom w:val="none" w:sz="0" w:space="0" w:color="auto"/>
        <w:right w:val="none" w:sz="0" w:space="0" w:color="auto"/>
      </w:divBdr>
    </w:div>
    <w:div w:id="716322718">
      <w:bodyDiv w:val="1"/>
      <w:marLeft w:val="0"/>
      <w:marRight w:val="0"/>
      <w:marTop w:val="0"/>
      <w:marBottom w:val="0"/>
      <w:divBdr>
        <w:top w:val="none" w:sz="0" w:space="0" w:color="auto"/>
        <w:left w:val="none" w:sz="0" w:space="0" w:color="auto"/>
        <w:bottom w:val="none" w:sz="0" w:space="0" w:color="auto"/>
        <w:right w:val="none" w:sz="0" w:space="0" w:color="auto"/>
      </w:divBdr>
    </w:div>
    <w:div w:id="728577942">
      <w:bodyDiv w:val="1"/>
      <w:marLeft w:val="0"/>
      <w:marRight w:val="0"/>
      <w:marTop w:val="0"/>
      <w:marBottom w:val="0"/>
      <w:divBdr>
        <w:top w:val="none" w:sz="0" w:space="0" w:color="auto"/>
        <w:left w:val="none" w:sz="0" w:space="0" w:color="auto"/>
        <w:bottom w:val="none" w:sz="0" w:space="0" w:color="auto"/>
        <w:right w:val="none" w:sz="0" w:space="0" w:color="auto"/>
      </w:divBdr>
    </w:div>
    <w:div w:id="733746604">
      <w:bodyDiv w:val="1"/>
      <w:marLeft w:val="0"/>
      <w:marRight w:val="0"/>
      <w:marTop w:val="0"/>
      <w:marBottom w:val="0"/>
      <w:divBdr>
        <w:top w:val="none" w:sz="0" w:space="0" w:color="auto"/>
        <w:left w:val="none" w:sz="0" w:space="0" w:color="auto"/>
        <w:bottom w:val="none" w:sz="0" w:space="0" w:color="auto"/>
        <w:right w:val="none" w:sz="0" w:space="0" w:color="auto"/>
      </w:divBdr>
    </w:div>
    <w:div w:id="811867812">
      <w:bodyDiv w:val="1"/>
      <w:marLeft w:val="0"/>
      <w:marRight w:val="0"/>
      <w:marTop w:val="0"/>
      <w:marBottom w:val="0"/>
      <w:divBdr>
        <w:top w:val="none" w:sz="0" w:space="0" w:color="auto"/>
        <w:left w:val="none" w:sz="0" w:space="0" w:color="auto"/>
        <w:bottom w:val="none" w:sz="0" w:space="0" w:color="auto"/>
        <w:right w:val="none" w:sz="0" w:space="0" w:color="auto"/>
      </w:divBdr>
    </w:div>
    <w:div w:id="823199136">
      <w:bodyDiv w:val="1"/>
      <w:marLeft w:val="0"/>
      <w:marRight w:val="0"/>
      <w:marTop w:val="0"/>
      <w:marBottom w:val="0"/>
      <w:divBdr>
        <w:top w:val="none" w:sz="0" w:space="0" w:color="auto"/>
        <w:left w:val="none" w:sz="0" w:space="0" w:color="auto"/>
        <w:bottom w:val="none" w:sz="0" w:space="0" w:color="auto"/>
        <w:right w:val="none" w:sz="0" w:space="0" w:color="auto"/>
      </w:divBdr>
    </w:div>
    <w:div w:id="840197124">
      <w:bodyDiv w:val="1"/>
      <w:marLeft w:val="0"/>
      <w:marRight w:val="0"/>
      <w:marTop w:val="0"/>
      <w:marBottom w:val="0"/>
      <w:divBdr>
        <w:top w:val="none" w:sz="0" w:space="0" w:color="auto"/>
        <w:left w:val="none" w:sz="0" w:space="0" w:color="auto"/>
        <w:bottom w:val="none" w:sz="0" w:space="0" w:color="auto"/>
        <w:right w:val="none" w:sz="0" w:space="0" w:color="auto"/>
      </w:divBdr>
    </w:div>
    <w:div w:id="850224714">
      <w:bodyDiv w:val="1"/>
      <w:marLeft w:val="0"/>
      <w:marRight w:val="0"/>
      <w:marTop w:val="0"/>
      <w:marBottom w:val="0"/>
      <w:divBdr>
        <w:top w:val="none" w:sz="0" w:space="0" w:color="auto"/>
        <w:left w:val="none" w:sz="0" w:space="0" w:color="auto"/>
        <w:bottom w:val="none" w:sz="0" w:space="0" w:color="auto"/>
        <w:right w:val="none" w:sz="0" w:space="0" w:color="auto"/>
      </w:divBdr>
    </w:div>
    <w:div w:id="1256523249">
      <w:bodyDiv w:val="1"/>
      <w:marLeft w:val="0"/>
      <w:marRight w:val="0"/>
      <w:marTop w:val="0"/>
      <w:marBottom w:val="0"/>
      <w:divBdr>
        <w:top w:val="none" w:sz="0" w:space="0" w:color="auto"/>
        <w:left w:val="none" w:sz="0" w:space="0" w:color="auto"/>
        <w:bottom w:val="none" w:sz="0" w:space="0" w:color="auto"/>
        <w:right w:val="none" w:sz="0" w:space="0" w:color="auto"/>
      </w:divBdr>
    </w:div>
    <w:div w:id="1427459325">
      <w:bodyDiv w:val="1"/>
      <w:marLeft w:val="0"/>
      <w:marRight w:val="0"/>
      <w:marTop w:val="0"/>
      <w:marBottom w:val="0"/>
      <w:divBdr>
        <w:top w:val="none" w:sz="0" w:space="0" w:color="auto"/>
        <w:left w:val="none" w:sz="0" w:space="0" w:color="auto"/>
        <w:bottom w:val="none" w:sz="0" w:space="0" w:color="auto"/>
        <w:right w:val="none" w:sz="0" w:space="0" w:color="auto"/>
      </w:divBdr>
    </w:div>
    <w:div w:id="1429427620">
      <w:bodyDiv w:val="1"/>
      <w:marLeft w:val="0"/>
      <w:marRight w:val="0"/>
      <w:marTop w:val="0"/>
      <w:marBottom w:val="0"/>
      <w:divBdr>
        <w:top w:val="none" w:sz="0" w:space="0" w:color="auto"/>
        <w:left w:val="none" w:sz="0" w:space="0" w:color="auto"/>
        <w:bottom w:val="none" w:sz="0" w:space="0" w:color="auto"/>
        <w:right w:val="none" w:sz="0" w:space="0" w:color="auto"/>
      </w:divBdr>
    </w:div>
    <w:div w:id="1464888947">
      <w:bodyDiv w:val="1"/>
      <w:marLeft w:val="0"/>
      <w:marRight w:val="0"/>
      <w:marTop w:val="0"/>
      <w:marBottom w:val="0"/>
      <w:divBdr>
        <w:top w:val="none" w:sz="0" w:space="0" w:color="auto"/>
        <w:left w:val="none" w:sz="0" w:space="0" w:color="auto"/>
        <w:bottom w:val="none" w:sz="0" w:space="0" w:color="auto"/>
        <w:right w:val="none" w:sz="0" w:space="0" w:color="auto"/>
      </w:divBdr>
    </w:div>
    <w:div w:id="1620643824">
      <w:bodyDiv w:val="1"/>
      <w:marLeft w:val="0"/>
      <w:marRight w:val="0"/>
      <w:marTop w:val="0"/>
      <w:marBottom w:val="0"/>
      <w:divBdr>
        <w:top w:val="none" w:sz="0" w:space="0" w:color="auto"/>
        <w:left w:val="none" w:sz="0" w:space="0" w:color="auto"/>
        <w:bottom w:val="none" w:sz="0" w:space="0" w:color="auto"/>
        <w:right w:val="none" w:sz="0" w:space="0" w:color="auto"/>
      </w:divBdr>
    </w:div>
    <w:div w:id="2099405128">
      <w:bodyDiv w:val="1"/>
      <w:marLeft w:val="0"/>
      <w:marRight w:val="0"/>
      <w:marTop w:val="0"/>
      <w:marBottom w:val="0"/>
      <w:divBdr>
        <w:top w:val="none" w:sz="0" w:space="0" w:color="auto"/>
        <w:left w:val="none" w:sz="0" w:space="0" w:color="auto"/>
        <w:bottom w:val="none" w:sz="0" w:space="0" w:color="auto"/>
        <w:right w:val="none" w:sz="0" w:space="0" w:color="auto"/>
      </w:divBdr>
    </w:div>
    <w:div w:id="213032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ilunion.com/sites/all/themes/newco/logo.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http://www.ilunion.com/sites/all/themes/newco/logo.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C502-5189-4D95-A534-022F54B3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8288</Words>
  <Characters>45589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Plan de Actuación</vt:lpstr>
    </vt:vector>
  </TitlesOfParts>
  <Company>Fundosa</Company>
  <LinksUpToDate>false</LinksUpToDate>
  <CharactersWithSpaces>53770</CharactersWithSpaces>
  <SharedDoc>false</SharedDoc>
  <HLinks>
    <vt:vector size="120" baseType="variant">
      <vt:variant>
        <vt:i4>1638453</vt:i4>
      </vt:variant>
      <vt:variant>
        <vt:i4>116</vt:i4>
      </vt:variant>
      <vt:variant>
        <vt:i4>0</vt:i4>
      </vt:variant>
      <vt:variant>
        <vt:i4>5</vt:i4>
      </vt:variant>
      <vt:variant>
        <vt:lpwstr/>
      </vt:variant>
      <vt:variant>
        <vt:lpwstr>_Toc371606798</vt:lpwstr>
      </vt:variant>
      <vt:variant>
        <vt:i4>1638453</vt:i4>
      </vt:variant>
      <vt:variant>
        <vt:i4>110</vt:i4>
      </vt:variant>
      <vt:variant>
        <vt:i4>0</vt:i4>
      </vt:variant>
      <vt:variant>
        <vt:i4>5</vt:i4>
      </vt:variant>
      <vt:variant>
        <vt:lpwstr/>
      </vt:variant>
      <vt:variant>
        <vt:lpwstr>_Toc371606797</vt:lpwstr>
      </vt:variant>
      <vt:variant>
        <vt:i4>1638453</vt:i4>
      </vt:variant>
      <vt:variant>
        <vt:i4>104</vt:i4>
      </vt:variant>
      <vt:variant>
        <vt:i4>0</vt:i4>
      </vt:variant>
      <vt:variant>
        <vt:i4>5</vt:i4>
      </vt:variant>
      <vt:variant>
        <vt:lpwstr/>
      </vt:variant>
      <vt:variant>
        <vt:lpwstr>_Toc371606796</vt:lpwstr>
      </vt:variant>
      <vt:variant>
        <vt:i4>1638453</vt:i4>
      </vt:variant>
      <vt:variant>
        <vt:i4>98</vt:i4>
      </vt:variant>
      <vt:variant>
        <vt:i4>0</vt:i4>
      </vt:variant>
      <vt:variant>
        <vt:i4>5</vt:i4>
      </vt:variant>
      <vt:variant>
        <vt:lpwstr/>
      </vt:variant>
      <vt:variant>
        <vt:lpwstr>_Toc371606795</vt:lpwstr>
      </vt:variant>
      <vt:variant>
        <vt:i4>1638453</vt:i4>
      </vt:variant>
      <vt:variant>
        <vt:i4>92</vt:i4>
      </vt:variant>
      <vt:variant>
        <vt:i4>0</vt:i4>
      </vt:variant>
      <vt:variant>
        <vt:i4>5</vt:i4>
      </vt:variant>
      <vt:variant>
        <vt:lpwstr/>
      </vt:variant>
      <vt:variant>
        <vt:lpwstr>_Toc371606794</vt:lpwstr>
      </vt:variant>
      <vt:variant>
        <vt:i4>1638453</vt:i4>
      </vt:variant>
      <vt:variant>
        <vt:i4>86</vt:i4>
      </vt:variant>
      <vt:variant>
        <vt:i4>0</vt:i4>
      </vt:variant>
      <vt:variant>
        <vt:i4>5</vt:i4>
      </vt:variant>
      <vt:variant>
        <vt:lpwstr/>
      </vt:variant>
      <vt:variant>
        <vt:lpwstr>_Toc371606793</vt:lpwstr>
      </vt:variant>
      <vt:variant>
        <vt:i4>1638453</vt:i4>
      </vt:variant>
      <vt:variant>
        <vt:i4>80</vt:i4>
      </vt:variant>
      <vt:variant>
        <vt:i4>0</vt:i4>
      </vt:variant>
      <vt:variant>
        <vt:i4>5</vt:i4>
      </vt:variant>
      <vt:variant>
        <vt:lpwstr/>
      </vt:variant>
      <vt:variant>
        <vt:lpwstr>_Toc371606792</vt:lpwstr>
      </vt:variant>
      <vt:variant>
        <vt:i4>1638453</vt:i4>
      </vt:variant>
      <vt:variant>
        <vt:i4>74</vt:i4>
      </vt:variant>
      <vt:variant>
        <vt:i4>0</vt:i4>
      </vt:variant>
      <vt:variant>
        <vt:i4>5</vt:i4>
      </vt:variant>
      <vt:variant>
        <vt:lpwstr/>
      </vt:variant>
      <vt:variant>
        <vt:lpwstr>_Toc371606791</vt:lpwstr>
      </vt:variant>
      <vt:variant>
        <vt:i4>1638453</vt:i4>
      </vt:variant>
      <vt:variant>
        <vt:i4>68</vt:i4>
      </vt:variant>
      <vt:variant>
        <vt:i4>0</vt:i4>
      </vt:variant>
      <vt:variant>
        <vt:i4>5</vt:i4>
      </vt:variant>
      <vt:variant>
        <vt:lpwstr/>
      </vt:variant>
      <vt:variant>
        <vt:lpwstr>_Toc371606790</vt:lpwstr>
      </vt:variant>
      <vt:variant>
        <vt:i4>1572917</vt:i4>
      </vt:variant>
      <vt:variant>
        <vt:i4>62</vt:i4>
      </vt:variant>
      <vt:variant>
        <vt:i4>0</vt:i4>
      </vt:variant>
      <vt:variant>
        <vt:i4>5</vt:i4>
      </vt:variant>
      <vt:variant>
        <vt:lpwstr/>
      </vt:variant>
      <vt:variant>
        <vt:lpwstr>_Toc371606789</vt:lpwstr>
      </vt:variant>
      <vt:variant>
        <vt:i4>1572917</vt:i4>
      </vt:variant>
      <vt:variant>
        <vt:i4>56</vt:i4>
      </vt:variant>
      <vt:variant>
        <vt:i4>0</vt:i4>
      </vt:variant>
      <vt:variant>
        <vt:i4>5</vt:i4>
      </vt:variant>
      <vt:variant>
        <vt:lpwstr/>
      </vt:variant>
      <vt:variant>
        <vt:lpwstr>_Toc371606788</vt:lpwstr>
      </vt:variant>
      <vt:variant>
        <vt:i4>1572917</vt:i4>
      </vt:variant>
      <vt:variant>
        <vt:i4>50</vt:i4>
      </vt:variant>
      <vt:variant>
        <vt:i4>0</vt:i4>
      </vt:variant>
      <vt:variant>
        <vt:i4>5</vt:i4>
      </vt:variant>
      <vt:variant>
        <vt:lpwstr/>
      </vt:variant>
      <vt:variant>
        <vt:lpwstr>_Toc371606787</vt:lpwstr>
      </vt:variant>
      <vt:variant>
        <vt:i4>1572917</vt:i4>
      </vt:variant>
      <vt:variant>
        <vt:i4>44</vt:i4>
      </vt:variant>
      <vt:variant>
        <vt:i4>0</vt:i4>
      </vt:variant>
      <vt:variant>
        <vt:i4>5</vt:i4>
      </vt:variant>
      <vt:variant>
        <vt:lpwstr/>
      </vt:variant>
      <vt:variant>
        <vt:lpwstr>_Toc371606786</vt:lpwstr>
      </vt:variant>
      <vt:variant>
        <vt:i4>1572917</vt:i4>
      </vt:variant>
      <vt:variant>
        <vt:i4>38</vt:i4>
      </vt:variant>
      <vt:variant>
        <vt:i4>0</vt:i4>
      </vt:variant>
      <vt:variant>
        <vt:i4>5</vt:i4>
      </vt:variant>
      <vt:variant>
        <vt:lpwstr/>
      </vt:variant>
      <vt:variant>
        <vt:lpwstr>_Toc371606785</vt:lpwstr>
      </vt:variant>
      <vt:variant>
        <vt:i4>1572917</vt:i4>
      </vt:variant>
      <vt:variant>
        <vt:i4>32</vt:i4>
      </vt:variant>
      <vt:variant>
        <vt:i4>0</vt:i4>
      </vt:variant>
      <vt:variant>
        <vt:i4>5</vt:i4>
      </vt:variant>
      <vt:variant>
        <vt:lpwstr/>
      </vt:variant>
      <vt:variant>
        <vt:lpwstr>_Toc371606784</vt:lpwstr>
      </vt:variant>
      <vt:variant>
        <vt:i4>1572917</vt:i4>
      </vt:variant>
      <vt:variant>
        <vt:i4>26</vt:i4>
      </vt:variant>
      <vt:variant>
        <vt:i4>0</vt:i4>
      </vt:variant>
      <vt:variant>
        <vt:i4>5</vt:i4>
      </vt:variant>
      <vt:variant>
        <vt:lpwstr/>
      </vt:variant>
      <vt:variant>
        <vt:lpwstr>_Toc371606783</vt:lpwstr>
      </vt:variant>
      <vt:variant>
        <vt:i4>1572917</vt:i4>
      </vt:variant>
      <vt:variant>
        <vt:i4>20</vt:i4>
      </vt:variant>
      <vt:variant>
        <vt:i4>0</vt:i4>
      </vt:variant>
      <vt:variant>
        <vt:i4>5</vt:i4>
      </vt:variant>
      <vt:variant>
        <vt:lpwstr/>
      </vt:variant>
      <vt:variant>
        <vt:lpwstr>_Toc371606782</vt:lpwstr>
      </vt:variant>
      <vt:variant>
        <vt:i4>1572917</vt:i4>
      </vt:variant>
      <vt:variant>
        <vt:i4>14</vt:i4>
      </vt:variant>
      <vt:variant>
        <vt:i4>0</vt:i4>
      </vt:variant>
      <vt:variant>
        <vt:i4>5</vt:i4>
      </vt:variant>
      <vt:variant>
        <vt:lpwstr/>
      </vt:variant>
      <vt:variant>
        <vt:lpwstr>_Toc371606781</vt:lpwstr>
      </vt:variant>
      <vt:variant>
        <vt:i4>1572917</vt:i4>
      </vt:variant>
      <vt:variant>
        <vt:i4>8</vt:i4>
      </vt:variant>
      <vt:variant>
        <vt:i4>0</vt:i4>
      </vt:variant>
      <vt:variant>
        <vt:i4>5</vt:i4>
      </vt:variant>
      <vt:variant>
        <vt:lpwstr/>
      </vt:variant>
      <vt:variant>
        <vt:lpwstr>_Toc371606780</vt:lpwstr>
      </vt:variant>
      <vt:variant>
        <vt:i4>1507381</vt:i4>
      </vt:variant>
      <vt:variant>
        <vt:i4>2</vt:i4>
      </vt:variant>
      <vt:variant>
        <vt:i4>0</vt:i4>
      </vt:variant>
      <vt:variant>
        <vt:i4>5</vt:i4>
      </vt:variant>
      <vt:variant>
        <vt:lpwstr/>
      </vt:variant>
      <vt:variant>
        <vt:lpwstr>_Toc371606779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Actuación</dc:title>
  <dc:creator>j_ingelmo</dc:creator>
  <cp:lastModifiedBy>Palmero Mangado, Virginia</cp:lastModifiedBy>
  <cp:revision>3</cp:revision>
  <cp:lastPrinted>2013-11-11T08:15:00Z</cp:lastPrinted>
  <dcterms:created xsi:type="dcterms:W3CDTF">2014-11-17T16:04:00Z</dcterms:created>
  <dcterms:modified xsi:type="dcterms:W3CDTF">2014-11-17T16:21:00Z</dcterms:modified>
</cp:coreProperties>
</file>