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E0" w:rsidRPr="000E1AD6" w:rsidRDefault="005E63A8" w:rsidP="005E63A8">
      <w:pPr>
        <w:ind w:left="5664" w:firstLine="708"/>
        <w:rPr>
          <w:rFonts w:ascii="Arial" w:hAnsi="Arial" w:cs="Arial"/>
          <w:b/>
          <w:bCs/>
          <w:color w:val="C10000"/>
          <w:sz w:val="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4C36AF" wp14:editId="39DAC079">
            <wp:extent cx="1910080" cy="599440"/>
            <wp:effectExtent l="0" t="0" r="0" b="0"/>
            <wp:docPr id="2" name="Imagen 2" descr="Logo Unión Europea. Fondo Social Europeo. El FSE invierte en tu futuro" title="Logo Unión Europea. Fondo Social Europeo. El FSE invierte en tu futu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Unión Europea. Fondo Social Europeo. El FSE invierte en tu futuro" title="Logo Unión Europea. Fondo Social Europeo. El FSE invierte en tu futur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2E0" w:rsidRPr="00B7472C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83173A9" wp14:editId="7C2F0F5B">
            <wp:simplePos x="0" y="0"/>
            <wp:positionH relativeFrom="column">
              <wp:posOffset>2437</wp:posOffset>
            </wp:positionH>
            <wp:positionV relativeFrom="paragraph">
              <wp:posOffset>-12478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12E0" w:rsidRDefault="001312E0" w:rsidP="001312E0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Psicosocial – POISES – Año 2020</w:t>
      </w:r>
    </w:p>
    <w:p w:rsidR="00EB2638" w:rsidRPr="00EB2638" w:rsidRDefault="00EB2638" w:rsidP="00EB2638">
      <w:pPr>
        <w:spacing w:before="240" w:after="360"/>
        <w:jc w:val="center"/>
        <w:rPr>
          <w:rFonts w:ascii="Arial" w:hAnsi="Arial" w:cs="Arial"/>
          <w:b/>
          <w:sz w:val="24"/>
          <w:szCs w:val="24"/>
        </w:rPr>
      </w:pPr>
      <w:r w:rsidRPr="00EB2638">
        <w:rPr>
          <w:rFonts w:ascii="Arial" w:hAnsi="Arial" w:cs="Arial"/>
          <w:b/>
          <w:sz w:val="24"/>
          <w:szCs w:val="24"/>
        </w:rPr>
        <w:t>CARTA DE MANIFESTACIONES</w:t>
      </w:r>
    </w:p>
    <w:p w:rsidR="00EB2638" w:rsidRP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</w:rPr>
      </w:pPr>
      <w:r w:rsidRPr="00EB2638">
        <w:rPr>
          <w:rFonts w:ascii="Arial" w:hAnsi="Arial" w:cs="Arial"/>
          <w:sz w:val="24"/>
        </w:rPr>
        <w:t>D./Dª. _________________________________________, con DNI ______________, en nombre y representación de la entidad _____________________________, con CIF _________, con domicilio en _______________________________, en relación con las Ayudas económicas recibi</w:t>
      </w:r>
      <w:r w:rsidR="00575F14">
        <w:rPr>
          <w:rFonts w:ascii="Arial" w:hAnsi="Arial" w:cs="Arial"/>
          <w:sz w:val="24"/>
        </w:rPr>
        <w:t>das de</w:t>
      </w:r>
      <w:r w:rsidRPr="00EB2638">
        <w:rPr>
          <w:rFonts w:ascii="Arial" w:hAnsi="Arial" w:cs="Arial"/>
          <w:sz w:val="24"/>
        </w:rPr>
        <w:t xml:space="preserve"> Fundación ONCE para el programa “_______” </w:t>
      </w:r>
      <w:r w:rsidR="001312E0" w:rsidRPr="00EB2638">
        <w:rPr>
          <w:rFonts w:ascii="Arial" w:hAnsi="Arial" w:cs="Arial"/>
          <w:sz w:val="24"/>
        </w:rPr>
        <w:t>(convocatoria de Ayudas Económicas a Proyectos de Refuerzo de la Empleabilida</w:t>
      </w:r>
      <w:r w:rsidR="001312E0">
        <w:rPr>
          <w:rFonts w:ascii="Arial" w:hAnsi="Arial" w:cs="Arial"/>
          <w:sz w:val="24"/>
        </w:rPr>
        <w:t>d de Personas con Discapacidad Psicosocial</w:t>
      </w:r>
      <w:r w:rsidR="001312E0" w:rsidRPr="00EB2638">
        <w:rPr>
          <w:rFonts w:ascii="Arial" w:hAnsi="Arial" w:cs="Arial"/>
          <w:sz w:val="24"/>
        </w:rPr>
        <w:t xml:space="preserve">), en el marco del Programa Operativo de </w:t>
      </w:r>
      <w:r w:rsidR="001312E0">
        <w:rPr>
          <w:rFonts w:ascii="Arial" w:hAnsi="Arial" w:cs="Arial"/>
          <w:sz w:val="24"/>
        </w:rPr>
        <w:t>Inclusión Social y Economía Social</w:t>
      </w:r>
      <w:r w:rsidR="001312E0" w:rsidRPr="00EB2638">
        <w:rPr>
          <w:rFonts w:ascii="Arial" w:hAnsi="Arial" w:cs="Arial"/>
          <w:sz w:val="24"/>
        </w:rPr>
        <w:t xml:space="preserve"> 2014-2020 cofinanciado por el Fondo Social Europeo.</w:t>
      </w:r>
    </w:p>
    <w:p w:rsidR="00EB2638" w:rsidRP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</w:rPr>
      </w:pPr>
      <w:r w:rsidRPr="00EB2638">
        <w:rPr>
          <w:rFonts w:ascii="Arial" w:hAnsi="Arial" w:cs="Arial"/>
          <w:b/>
          <w:sz w:val="24"/>
        </w:rPr>
        <w:t>DECLARA</w:t>
      </w:r>
    </w:p>
    <w:p w:rsidR="00EB2638" w:rsidRP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B2638">
        <w:rPr>
          <w:rFonts w:ascii="Arial" w:hAnsi="Arial" w:cs="Arial"/>
          <w:sz w:val="24"/>
          <w:szCs w:val="24"/>
        </w:rPr>
        <w:t>Que dicha entidad no se encuentra incursa en ninguna de las circunstancias recogidas en los apartados 2 y 3 del artículo 13 de la Ley 38/2003, General de Subvenciones, que impiden obtener la condición de beneficiario, de acuerdo con lo indicado en la Convoca</w:t>
      </w:r>
      <w:r w:rsidR="006F63BC">
        <w:rPr>
          <w:rFonts w:ascii="Arial" w:hAnsi="Arial" w:cs="Arial"/>
          <w:sz w:val="24"/>
          <w:szCs w:val="24"/>
        </w:rPr>
        <w:t>toria de ayudas económicas de</w:t>
      </w:r>
      <w:r w:rsidRPr="00EB2638">
        <w:rPr>
          <w:rFonts w:ascii="Arial" w:hAnsi="Arial" w:cs="Arial"/>
          <w:sz w:val="24"/>
          <w:szCs w:val="24"/>
        </w:rPr>
        <w:t xml:space="preserve"> Fundación ONCE en el marco del Programa Operativo de Empleo Juvenil 2014-2020 cofinanciado por el Fondo Social Europeo.</w:t>
      </w:r>
    </w:p>
    <w:p w:rsidR="00EB2638" w:rsidRP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</w:rPr>
      </w:pPr>
      <w:r w:rsidRPr="00EB2638">
        <w:rPr>
          <w:rFonts w:ascii="Arial" w:hAnsi="Arial" w:cs="Arial"/>
          <w:sz w:val="24"/>
        </w:rPr>
        <w:t xml:space="preserve">Además: </w:t>
      </w:r>
    </w:p>
    <w:tbl>
      <w:tblPr>
        <w:tblW w:w="8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37"/>
        <w:gridCol w:w="470"/>
        <w:gridCol w:w="230"/>
        <w:gridCol w:w="564"/>
      </w:tblGrid>
      <w:tr w:rsidR="00EB2638" w:rsidRPr="00EB2638" w:rsidTr="00C56BE7">
        <w:trPr>
          <w:trHeight w:val="315"/>
        </w:trPr>
        <w:tc>
          <w:tcPr>
            <w:tcW w:w="72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6F63BC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 La entidad ha comunicado a</w:t>
            </w:r>
            <w:r w:rsidR="00EB2638" w:rsidRPr="00EB2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Fundación ONCE, </w:t>
            </w:r>
            <w:r w:rsidR="008F41E9" w:rsidRPr="00EB2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en su caso, todas las solicitudes y/o resoluciones de otras ayudas o subvenciones vinculadas al </w:t>
            </w:r>
            <w:r w:rsidR="008F41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proyecto ejecutado o participantes del mismo.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EB2638" w:rsidRPr="00EB2638" w:rsidTr="00C56BE7">
        <w:trPr>
          <w:trHeight w:val="315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6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63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B2638" w:rsidRPr="00EB2638" w:rsidTr="00C56BE7">
        <w:trPr>
          <w:trHeight w:val="300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638" w:rsidTr="00C56BE7">
        <w:trPr>
          <w:trHeight w:val="300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EB2638">
              <w:rPr>
                <w:rFonts w:ascii="Arial" w:hAnsi="Arial" w:cs="Arial"/>
                <w:i/>
                <w:iCs/>
                <w:color w:val="000000"/>
              </w:rPr>
              <w:t>Descripción, en su caso.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RPr="00EB2638" w:rsidTr="00C56BE7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B2638" w:rsidRPr="00EB2638" w:rsidRDefault="00EB2638" w:rsidP="00EB263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</w:rPr>
      </w:pPr>
    </w:p>
    <w:tbl>
      <w:tblPr>
        <w:tblW w:w="8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237"/>
        <w:gridCol w:w="2314"/>
        <w:gridCol w:w="230"/>
        <w:gridCol w:w="1485"/>
      </w:tblGrid>
      <w:tr w:rsidR="00EB2638" w:rsidRPr="00EB2638" w:rsidTr="00C56BE7">
        <w:trPr>
          <w:trHeight w:val="315"/>
        </w:trPr>
        <w:tc>
          <w:tcPr>
            <w:tcW w:w="44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638" w:rsidRPr="00EB2638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t xml:space="preserve">- A lo largo de la ejecución del proyecto, no se ha puesto de manifiesto ningún indicio de irregularidad o fraude que afecte al mismo, o en caso contrario, éste ha sido notificado a Fundación ONCE.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t>SI han existido indicios de irregularidad (</w:t>
            </w:r>
            <w:r w:rsidRPr="00EB2638">
              <w:rPr>
                <w:rFonts w:ascii="Arial" w:hAnsi="Arial" w:cs="Arial"/>
                <w:b/>
                <w:bCs/>
                <w:color w:val="000000"/>
                <w:u w:val="single"/>
              </w:rPr>
              <w:t>incluya descripción del evento y adjunte evidencia</w:t>
            </w:r>
            <w:r w:rsidRPr="00EB2638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t>NO han existido indicios de irregularidad</w:t>
            </w:r>
          </w:p>
        </w:tc>
      </w:tr>
      <w:tr w:rsidR="00EB2638" w:rsidRPr="00EB2638" w:rsidTr="00C56BE7">
        <w:trPr>
          <w:trHeight w:val="315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</w:rPr>
            </w:pPr>
            <w:r w:rsidRPr="00EB263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color w:val="000000"/>
                <w:sz w:val="24"/>
              </w:rPr>
            </w:pPr>
            <w:r w:rsidRPr="00EB2638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EB2638">
              <w:rPr>
                <w:rFonts w:ascii="Arial" w:hAnsi="Arial" w:cs="Arial"/>
                <w:i/>
                <w:iCs/>
                <w:color w:val="000000"/>
              </w:rPr>
              <w:t>Descripción, en su caso.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B2638" w:rsidRDefault="00EB2638" w:rsidP="00EB2638">
      <w:pPr>
        <w:autoSpaceDE w:val="0"/>
        <w:autoSpaceDN w:val="0"/>
        <w:adjustRightInd w:val="0"/>
        <w:spacing w:line="240" w:lineRule="atLeast"/>
        <w:jc w:val="both"/>
      </w:pPr>
    </w:p>
    <w:p w:rsidR="00EB2638" w:rsidRDefault="00EB2638" w:rsidP="00EB2638">
      <w:r>
        <w:br w:type="page"/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40"/>
        <w:gridCol w:w="480"/>
        <w:gridCol w:w="340"/>
        <w:gridCol w:w="480"/>
      </w:tblGrid>
      <w:tr w:rsidR="00EB2638" w:rsidTr="00C56BE7">
        <w:trPr>
          <w:trHeight w:val="315"/>
        </w:trPr>
        <w:tc>
          <w:tcPr>
            <w:tcW w:w="7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638" w:rsidRPr="00EB2638" w:rsidRDefault="00EB2638" w:rsidP="00C56BE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- Se ha dispuesto de un sistema de contabilidad separado y/o un código contable identificado para todas las transacciones relacionadas con las operaciones subvencionadas, conforme al artículo 125 del Reglamento (CE) 1303/2013 del Parlamento Europeo y del Consejo, de 217 de diciembre de 2013. </w:t>
            </w:r>
            <w:r w:rsidRPr="00EB2638">
              <w:rPr>
                <w:rFonts w:ascii="Arial" w:hAnsi="Arial" w:cs="Arial"/>
                <w:b/>
                <w:bCs/>
                <w:color w:val="000000"/>
                <w:u w:val="single"/>
              </w:rPr>
              <w:t>Incluya descripción del proceso y evidencia</w:t>
            </w:r>
            <w:r w:rsidRPr="00EB2638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2515D6">
              <w:rPr>
                <w:rFonts w:ascii="Arial" w:hAnsi="Arial" w:cs="Arial"/>
                <w:b/>
                <w:bCs/>
                <w:color w:val="000000"/>
              </w:rPr>
              <w:t xml:space="preserve"> (Asiento contable y subcuentas)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Default="00EB2638" w:rsidP="00C56B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638" w:rsidRPr="00EB2638" w:rsidRDefault="00EB2638" w:rsidP="00C56B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2638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</w:tr>
      <w:tr w:rsidR="00EB2638" w:rsidTr="00C56BE7">
        <w:trPr>
          <w:trHeight w:val="315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Pr="00EB2638" w:rsidRDefault="00EB2638" w:rsidP="00C56BE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EB2638">
              <w:rPr>
                <w:rFonts w:ascii="Arial" w:hAnsi="Arial" w:cs="Arial"/>
                <w:i/>
                <w:iCs/>
                <w:color w:val="000000"/>
              </w:rPr>
              <w:t>Descripción, en su caso.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638" w:rsidRDefault="00EB2638" w:rsidP="00C56BE7">
            <w:pPr>
              <w:rPr>
                <w:color w:val="000000"/>
              </w:rPr>
            </w:pP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i/>
                <w:i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  <w:tr w:rsidR="00EB2638" w:rsidTr="00C56BE7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A43BD2" w:rsidP="00C56BE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Adjunte evidencia del proceso (Asiento contable y subcuentas)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38" w:rsidRDefault="00EB2638" w:rsidP="00C56BE7">
            <w:pPr>
              <w:rPr>
                <w:sz w:val="20"/>
                <w:szCs w:val="20"/>
              </w:rPr>
            </w:pPr>
          </w:p>
        </w:tc>
      </w:tr>
    </w:tbl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line="240" w:lineRule="atLeast"/>
        <w:rPr>
          <w:lang w:val="es-ES_tradnl"/>
        </w:rPr>
      </w:pPr>
    </w:p>
    <w:p w:rsidR="00EB2638" w:rsidRDefault="00EB2638" w:rsidP="00EB2638">
      <w:pPr>
        <w:autoSpaceDE w:val="0"/>
        <w:autoSpaceDN w:val="0"/>
        <w:adjustRightInd w:val="0"/>
        <w:spacing w:after="120" w:line="240" w:lineRule="atLeast"/>
        <w:rPr>
          <w:lang w:val="es-ES_tradnl"/>
        </w:rPr>
      </w:pPr>
      <w:r>
        <w:rPr>
          <w:lang w:val="es-ES_tradnl"/>
        </w:rPr>
        <w:t>__________________</w:t>
      </w:r>
    </w:p>
    <w:p w:rsidR="00EB2638" w:rsidRDefault="00EB2638" w:rsidP="00EB2638">
      <w:pPr>
        <w:autoSpaceDE w:val="0"/>
        <w:autoSpaceDN w:val="0"/>
        <w:adjustRightInd w:val="0"/>
        <w:spacing w:after="120" w:line="240" w:lineRule="atLeast"/>
        <w:rPr>
          <w:b/>
          <w:lang w:val="es-ES_tradnl"/>
        </w:rPr>
      </w:pPr>
      <w:r w:rsidRPr="009E7E65">
        <w:rPr>
          <w:b/>
          <w:lang w:val="es-ES_tradnl"/>
        </w:rPr>
        <w:t>Firma y sello</w:t>
      </w:r>
    </w:p>
    <w:p w:rsidR="00EB2638" w:rsidRDefault="00EB2638" w:rsidP="00EB2638">
      <w:pPr>
        <w:spacing w:after="120"/>
      </w:pPr>
    </w:p>
    <w:p w:rsidR="00CD5BEB" w:rsidRPr="00EB2638" w:rsidRDefault="00A43BD2" w:rsidP="00EB2638">
      <w:pPr>
        <w:spacing w:after="120"/>
        <w:rPr>
          <w:lang w:val="es-ES_tradnl"/>
        </w:rPr>
      </w:pPr>
      <w:r>
        <w:lastRenderedPageBreak/>
        <w:t xml:space="preserve">En ______ </w:t>
      </w:r>
      <w:proofErr w:type="spellStart"/>
      <w:r>
        <w:t>a</w:t>
      </w:r>
      <w:proofErr w:type="spellEnd"/>
      <w:r>
        <w:t xml:space="preserve"> __ de 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202</w:t>
      </w:r>
      <w:r w:rsidR="008F41E9">
        <w:t>..</w:t>
      </w:r>
      <w:proofErr w:type="gramEnd"/>
    </w:p>
    <w:sectPr w:rsidR="00CD5BEB" w:rsidRPr="00EB2638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3A8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1091C"/>
    <w:rsid w:val="00040E5C"/>
    <w:rsid w:val="0004586D"/>
    <w:rsid w:val="00053DB8"/>
    <w:rsid w:val="000F3E5B"/>
    <w:rsid w:val="001140C6"/>
    <w:rsid w:val="001228FD"/>
    <w:rsid w:val="001312E0"/>
    <w:rsid w:val="001374AF"/>
    <w:rsid w:val="0014744A"/>
    <w:rsid w:val="00194F51"/>
    <w:rsid w:val="001B30C4"/>
    <w:rsid w:val="001C5202"/>
    <w:rsid w:val="002344B9"/>
    <w:rsid w:val="00246046"/>
    <w:rsid w:val="002515D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575F14"/>
    <w:rsid w:val="005E63A8"/>
    <w:rsid w:val="00630979"/>
    <w:rsid w:val="0063286C"/>
    <w:rsid w:val="006F63BC"/>
    <w:rsid w:val="00723626"/>
    <w:rsid w:val="007F3D05"/>
    <w:rsid w:val="008D22B3"/>
    <w:rsid w:val="008E21CC"/>
    <w:rsid w:val="008E7AF4"/>
    <w:rsid w:val="008F0756"/>
    <w:rsid w:val="008F41E9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43BD2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1C0"/>
    <w:rsid w:val="00D21E0D"/>
    <w:rsid w:val="00D55415"/>
    <w:rsid w:val="00D60C6A"/>
    <w:rsid w:val="00DA2B9E"/>
    <w:rsid w:val="00DA55E4"/>
    <w:rsid w:val="00DF34D1"/>
    <w:rsid w:val="00E14F75"/>
    <w:rsid w:val="00E91C6C"/>
    <w:rsid w:val="00EB2638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1816C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9209-EC78-4952-9D01-035226A2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2019-04-08T08:42:00Z</dcterms:created>
  <dcterms:modified xsi:type="dcterms:W3CDTF">2021-01-04T12:13:00Z</dcterms:modified>
</cp:coreProperties>
</file>